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4C" w:rsidRPr="003A38E8" w:rsidRDefault="007131DE" w:rsidP="00AE71EB">
      <w:pPr>
        <w:ind w:right="142"/>
        <w:rPr>
          <w:rFonts w:cstheme="minorHAnsi"/>
        </w:rPr>
      </w:pPr>
      <w:r w:rsidRPr="003A38E8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82067" wp14:editId="15BFDB2C">
                <wp:simplePos x="0" y="0"/>
                <wp:positionH relativeFrom="column">
                  <wp:posOffset>12065</wp:posOffset>
                </wp:positionH>
                <wp:positionV relativeFrom="paragraph">
                  <wp:posOffset>199390</wp:posOffset>
                </wp:positionV>
                <wp:extent cx="6431280" cy="514350"/>
                <wp:effectExtent l="0" t="0" r="762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B93" w:rsidRPr="00D15E82" w:rsidRDefault="003A7B93" w:rsidP="00DF232E">
                            <w:pPr>
                              <w:jc w:val="center"/>
                              <w:rPr>
                                <w:b/>
                                <w:color w:val="004A93"/>
                                <w:sz w:val="52"/>
                                <w:szCs w:val="84"/>
                              </w:rPr>
                            </w:pPr>
                            <w:r>
                              <w:rPr>
                                <w:b/>
                                <w:color w:val="004A93"/>
                                <w:sz w:val="52"/>
                                <w:szCs w:val="84"/>
                              </w:rPr>
                              <w:t>Taushetserklæring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82067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.95pt;margin-top:15.7pt;width:506.4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" fillcolor="white [3212]" stroked="f" strokeweight=".5pt">
                <v:textbox>
                  <w:txbxContent>
                    <w:p w:rsidR="003A7B93" w:rsidRPr="00D15E82" w:rsidRDefault="003A7B93" w:rsidP="00DF232E">
                      <w:pPr>
                        <w:jc w:val="center"/>
                        <w:rPr>
                          <w:b/>
                          <w:color w:val="004A93"/>
                          <w:sz w:val="52"/>
                          <w:szCs w:val="84"/>
                        </w:rPr>
                      </w:pPr>
                      <w:r>
                        <w:rPr>
                          <w:b/>
                          <w:color w:val="004A93"/>
                          <w:sz w:val="52"/>
                          <w:szCs w:val="84"/>
                        </w:rPr>
                        <w:t>Taushetserklæring</w:t>
                      </w:r>
                    </w:p>
                  </w:txbxContent>
                </v:textbox>
              </v:shape>
            </w:pict>
          </mc:Fallback>
        </mc:AlternateContent>
      </w:r>
    </w:p>
    <w:p w:rsidR="00EB2BC4" w:rsidRPr="003A38E8" w:rsidRDefault="00EB2BC4">
      <w:pPr>
        <w:rPr>
          <w:rFonts w:cstheme="minorHAnsi"/>
        </w:rPr>
      </w:pPr>
    </w:p>
    <w:p w:rsidR="000464D2" w:rsidRPr="003A38E8" w:rsidRDefault="004160BE" w:rsidP="00E5201F">
      <w:pPr>
        <w:ind w:left="284" w:right="-143"/>
        <w:rPr>
          <w:rFonts w:cstheme="minorHAnsi"/>
        </w:rPr>
      </w:pPr>
      <w:r w:rsidRPr="003A38E8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8A25DC" wp14:editId="5EDB4B73">
                <wp:simplePos x="0" y="0"/>
                <wp:positionH relativeFrom="column">
                  <wp:posOffset>12065</wp:posOffset>
                </wp:positionH>
                <wp:positionV relativeFrom="paragraph">
                  <wp:posOffset>111760</wp:posOffset>
                </wp:positionV>
                <wp:extent cx="6440805" cy="0"/>
                <wp:effectExtent l="0" t="19050" r="36195" b="1905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8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4A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ED90EA" id="Rett linje 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8.8pt" to="508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" strokecolor="#004a93" strokeweight="3pt"/>
            </w:pict>
          </mc:Fallback>
        </mc:AlternateContent>
      </w:r>
    </w:p>
    <w:p w:rsidR="000464D2" w:rsidRPr="00342889" w:rsidRDefault="004160BE" w:rsidP="003E6313">
      <w:pPr>
        <w:jc w:val="center"/>
      </w:pPr>
      <w:r w:rsidRPr="00C37771">
        <w:rPr>
          <w:b/>
          <w:sz w:val="28"/>
          <w:szCs w:val="24"/>
        </w:rPr>
        <w:t>Signert taushetserklæring skal sendes til Sakarkiv for oppbevaring i Public 360.</w:t>
      </w:r>
      <w:r w:rsidR="00C37771">
        <w:rPr>
          <w:b/>
          <w:sz w:val="28"/>
          <w:szCs w:val="24"/>
        </w:rPr>
        <w:br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244"/>
        <w:gridCol w:w="4675"/>
      </w:tblGrid>
      <w:tr w:rsidR="000464D2" w:rsidRPr="007131DE" w:rsidTr="004160BE">
        <w:tc>
          <w:tcPr>
            <w:tcW w:w="5285" w:type="dxa"/>
            <w:tcBorders>
              <w:bottom w:val="single" w:sz="4" w:space="0" w:color="auto"/>
            </w:tcBorders>
            <w:vAlign w:val="center"/>
          </w:tcPr>
          <w:p w:rsidR="000464D2" w:rsidRPr="004160BE" w:rsidRDefault="000464D2" w:rsidP="004160BE">
            <w:pPr>
              <w:pStyle w:val="Gruppeoverskrift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160BE">
              <w:rPr>
                <w:rFonts w:asciiTheme="minorHAnsi" w:hAnsiTheme="minorHAnsi" w:cstheme="minorHAnsi"/>
                <w:b/>
                <w:caps w:val="0"/>
                <w:color w:val="000000" w:themeColor="text1"/>
                <w:sz w:val="20"/>
              </w:rPr>
              <w:t>Navn:</w:t>
            </w: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vAlign w:val="center"/>
          </w:tcPr>
          <w:p w:rsidR="000464D2" w:rsidRPr="004160BE" w:rsidRDefault="004160BE" w:rsidP="004160BE">
            <w:pPr>
              <w:pStyle w:val="Fortrykk"/>
              <w:spacing w:line="276" w:lineRule="auto"/>
              <w:ind w:left="284"/>
              <w:rPr>
                <w:rFonts w:asciiTheme="minorHAnsi" w:hAnsiTheme="minorHAnsi" w:cstheme="minorHAnsi"/>
                <w:b/>
                <w:sz w:val="20"/>
              </w:rPr>
            </w:pPr>
            <w:r w:rsidRPr="004160BE">
              <w:rPr>
                <w:rFonts w:asciiTheme="minorHAnsi" w:hAnsiTheme="minorHAnsi" w:cstheme="minorHAnsi"/>
                <w:b/>
                <w:sz w:val="20"/>
              </w:rPr>
              <w:t>Fødselsnummer</w:t>
            </w:r>
            <w:r w:rsidR="000464D2" w:rsidRPr="004160BE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</w:tr>
      <w:tr w:rsidR="004160BE" w:rsidRPr="007131DE" w:rsidTr="004160BE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0BE" w:rsidRPr="007131DE" w:rsidRDefault="004160BE" w:rsidP="004160BE">
            <w:pPr>
              <w:pStyle w:val="Gruppeoverskrif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4160BE">
              <w:rPr>
                <w:rFonts w:asciiTheme="minorHAnsi" w:hAnsiTheme="minorHAnsi" w:cstheme="minorHAnsi"/>
                <w:b/>
                <w:caps w:val="0"/>
                <w:color w:val="000000" w:themeColor="text1"/>
                <w:sz w:val="20"/>
              </w:rPr>
              <w:t>Tilknytting:</w:t>
            </w:r>
            <w:r w:rsidRPr="007131DE">
              <w:rPr>
                <w:rFonts w:asciiTheme="minorHAnsi" w:hAnsiTheme="minorHAnsi" w:cstheme="minorHAnsi"/>
                <w:caps w:val="0"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aps w:val="0"/>
                <w:color w:val="000000" w:themeColor="text1"/>
                <w:sz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aps w:val="0"/>
                  <w:color w:val="000000" w:themeColor="text1"/>
                  <w:sz w:val="24"/>
                </w:rPr>
                <w:id w:val="-126977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aps w:val="0"/>
                    <w:color w:val="000000" w:themeColor="text1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aps w:val="0"/>
                <w:color w:val="000000" w:themeColor="text1"/>
                <w:sz w:val="24"/>
              </w:rPr>
              <w:t xml:space="preserve"> </w:t>
            </w:r>
            <w:r w:rsidRPr="004160BE">
              <w:rPr>
                <w:rFonts w:asciiTheme="minorHAnsi" w:eastAsia="MS Gothic" w:hAnsiTheme="minorHAnsi" w:cstheme="minorHAnsi"/>
                <w:caps w:val="0"/>
                <w:color w:val="000000" w:themeColor="text1"/>
                <w:sz w:val="20"/>
              </w:rPr>
              <w:t xml:space="preserve">Ekstern </w:t>
            </w:r>
            <w:r>
              <w:rPr>
                <w:rFonts w:asciiTheme="minorHAnsi" w:eastAsia="MS Gothic" w:hAnsiTheme="minorHAnsi" w:cstheme="minorHAnsi"/>
                <w:caps w:val="0"/>
                <w:color w:val="000000" w:themeColor="text1"/>
                <w:sz w:val="20"/>
              </w:rPr>
              <w:t xml:space="preserve">         </w:t>
            </w:r>
            <w:sdt>
              <w:sdtPr>
                <w:rPr>
                  <w:rFonts w:asciiTheme="minorHAnsi" w:eastAsia="MS Gothic" w:hAnsiTheme="minorHAnsi" w:cstheme="minorHAnsi"/>
                  <w:caps w:val="0"/>
                  <w:color w:val="000000" w:themeColor="text1"/>
                  <w:sz w:val="24"/>
                </w:rPr>
                <w:id w:val="-21126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aps w:val="0"/>
                    <w:color w:val="000000" w:themeColor="text1"/>
                    <w:sz w:val="24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caps w:val="0"/>
                <w:color w:val="000000" w:themeColor="text1"/>
                <w:sz w:val="24"/>
              </w:rPr>
              <w:t xml:space="preserve"> </w:t>
            </w:r>
            <w:r w:rsidRPr="004160BE">
              <w:rPr>
                <w:rFonts w:asciiTheme="minorHAnsi" w:eastAsia="MS Gothic" w:hAnsiTheme="minorHAnsi" w:cstheme="minorHAnsi"/>
                <w:caps w:val="0"/>
                <w:color w:val="000000" w:themeColor="text1"/>
                <w:sz w:val="20"/>
              </w:rPr>
              <w:t>Student</w:t>
            </w:r>
            <w:r>
              <w:rPr>
                <w:rFonts w:asciiTheme="minorHAnsi" w:eastAsia="MS Gothic" w:hAnsiTheme="minorHAnsi" w:cstheme="minorHAnsi"/>
                <w:caps w:val="0"/>
                <w:color w:val="000000" w:themeColor="text1"/>
                <w:sz w:val="20"/>
              </w:rPr>
              <w:t xml:space="preserve">        </w:t>
            </w:r>
            <w:r w:rsidRPr="004160BE">
              <w:rPr>
                <w:rFonts w:asciiTheme="minorHAnsi" w:eastAsia="MS Gothic" w:hAnsiTheme="minorHAnsi" w:cstheme="minorHAnsi"/>
                <w:caps w:val="0"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aps w:val="0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aps w:val="0"/>
                  <w:color w:val="000000" w:themeColor="text1"/>
                  <w:sz w:val="24"/>
                </w:rPr>
                <w:id w:val="17578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aps w:val="0"/>
                    <w:color w:val="000000" w:themeColor="text1"/>
                    <w:sz w:val="24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caps w:val="0"/>
                <w:color w:val="000000" w:themeColor="text1"/>
                <w:sz w:val="24"/>
              </w:rPr>
              <w:t xml:space="preserve"> </w:t>
            </w:r>
            <w:r w:rsidRPr="004160BE">
              <w:rPr>
                <w:rFonts w:asciiTheme="minorHAnsi" w:eastAsia="MS Gothic" w:hAnsiTheme="minorHAnsi" w:cstheme="minorHAnsi"/>
                <w:caps w:val="0"/>
                <w:color w:val="000000" w:themeColor="text1"/>
                <w:sz w:val="20"/>
              </w:rPr>
              <w:t>Hospitering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0BE" w:rsidRPr="007131DE" w:rsidRDefault="00FE59FB" w:rsidP="004160BE">
            <w:pPr>
              <w:pStyle w:val="Gruppeoverskrif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</w:rPr>
                <w:id w:val="3032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BE" w:rsidRPr="004160BE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4160BE">
              <w:rPr>
                <w:rFonts w:asciiTheme="minorHAnsi" w:hAnsiTheme="minorHAnsi" w:cstheme="minorHAnsi"/>
                <w:color w:val="000000" w:themeColor="text1"/>
                <w:sz w:val="20"/>
              </w:rPr>
              <w:t>A</w:t>
            </w:r>
            <w:r w:rsidR="004160BE">
              <w:rPr>
                <w:rFonts w:asciiTheme="minorHAnsi" w:hAnsiTheme="minorHAnsi" w:cstheme="minorHAnsi"/>
                <w:caps w:val="0"/>
                <w:color w:val="000000" w:themeColor="text1"/>
                <w:sz w:val="20"/>
              </w:rPr>
              <w:t>nnet</w:t>
            </w:r>
            <w:r w:rsidR="004160B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: </w:t>
            </w:r>
          </w:p>
        </w:tc>
      </w:tr>
      <w:tr w:rsidR="000464D2" w:rsidRPr="007131DE" w:rsidTr="004160BE">
        <w:tc>
          <w:tcPr>
            <w:tcW w:w="5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4D2" w:rsidRPr="004160BE" w:rsidRDefault="004160BE" w:rsidP="004160BE">
            <w:pPr>
              <w:pStyle w:val="Gruppeoverskrift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160BE">
              <w:rPr>
                <w:rFonts w:asciiTheme="minorHAnsi" w:hAnsiTheme="minorHAnsi" w:cstheme="minorHAnsi"/>
                <w:b/>
                <w:caps w:val="0"/>
                <w:sz w:val="20"/>
              </w:rPr>
              <w:t>Stilling</w:t>
            </w:r>
            <w:r w:rsidR="000464D2" w:rsidRPr="004160BE">
              <w:rPr>
                <w:rFonts w:asciiTheme="minorHAnsi" w:hAnsiTheme="minorHAnsi" w:cstheme="minorHAnsi"/>
                <w:b/>
                <w:caps w:val="0"/>
                <w:sz w:val="20"/>
              </w:rPr>
              <w:t>: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4D2" w:rsidRPr="004160BE" w:rsidRDefault="004160BE" w:rsidP="004160BE">
            <w:pPr>
              <w:pStyle w:val="Fortrykk"/>
              <w:spacing w:line="276" w:lineRule="auto"/>
              <w:ind w:left="284"/>
              <w:rPr>
                <w:rFonts w:asciiTheme="minorHAnsi" w:hAnsiTheme="minorHAnsi" w:cstheme="minorHAnsi"/>
                <w:b/>
                <w:sz w:val="20"/>
              </w:rPr>
            </w:pPr>
            <w:r w:rsidRPr="004160BE">
              <w:rPr>
                <w:rFonts w:asciiTheme="minorHAnsi" w:hAnsiTheme="minorHAnsi"/>
                <w:b/>
                <w:sz w:val="20"/>
              </w:rPr>
              <w:t>Eventuelt ansattnummer:</w:t>
            </w:r>
          </w:p>
        </w:tc>
      </w:tr>
      <w:tr w:rsidR="004160BE" w:rsidRPr="007131DE" w:rsidTr="004160BE">
        <w:tc>
          <w:tcPr>
            <w:tcW w:w="5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0BE" w:rsidRPr="004160BE" w:rsidRDefault="004160BE" w:rsidP="004160BE">
            <w:pPr>
              <w:pStyle w:val="Gruppeoverskrift"/>
              <w:spacing w:line="276" w:lineRule="auto"/>
              <w:rPr>
                <w:rFonts w:asciiTheme="minorHAnsi" w:hAnsiTheme="minorHAnsi" w:cstheme="minorHAnsi"/>
                <w:b/>
                <w:caps w:val="0"/>
                <w:sz w:val="20"/>
              </w:rPr>
            </w:pPr>
            <w:r w:rsidRPr="004160BE">
              <w:rPr>
                <w:rFonts w:asciiTheme="minorHAnsi" w:hAnsiTheme="minorHAnsi"/>
                <w:b/>
                <w:caps w:val="0"/>
                <w:sz w:val="20"/>
              </w:rPr>
              <w:t>Avdeling/firma</w:t>
            </w:r>
            <w:r w:rsidRPr="004160BE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0BE" w:rsidRPr="004160BE" w:rsidRDefault="004160BE" w:rsidP="004160BE">
            <w:pPr>
              <w:pStyle w:val="Fortrykk"/>
              <w:spacing w:line="276" w:lineRule="auto"/>
              <w:ind w:left="284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B2089F" w:rsidRDefault="004160BE" w:rsidP="004160BE">
      <w:r>
        <w:rPr>
          <w:b/>
        </w:rPr>
        <w:br/>
      </w:r>
      <w:r w:rsidRPr="004160BE">
        <w:rPr>
          <w:b/>
          <w:color w:val="1F497D" w:themeColor="text2"/>
        </w:rPr>
        <w:t>BAKGRUNN</w:t>
      </w:r>
      <w:r>
        <w:rPr>
          <w:b/>
        </w:rPr>
        <w:br/>
      </w:r>
      <w:r w:rsidR="002A0C7E">
        <w:t>Bakgrunnen for taushetsplikten er utledet av menneskerettighetsloven § 8</w:t>
      </w:r>
      <w:r w:rsidR="00871DAE">
        <w:t xml:space="preserve">, jf. </w:t>
      </w:r>
      <w:r w:rsidR="00C163C5">
        <w:t xml:space="preserve">Grunnloven § 102. En person som utfører arbeid for Oslo universitetssykehus </w:t>
      </w:r>
      <w:r w:rsidR="000941BF">
        <w:t>HF</w:t>
      </w:r>
      <w:r w:rsidR="00C163C5">
        <w:t>, vil</w:t>
      </w:r>
      <w:r w:rsidR="009B336A">
        <w:t xml:space="preserve"> i sitt daglige virke måtte vurdere regler om taushetsplikt</w:t>
      </w:r>
      <w:r w:rsidR="000941BF">
        <w:t>, både når man arbeider administrativt eller med pasienter</w:t>
      </w:r>
      <w:r w:rsidR="00493399">
        <w:t xml:space="preserve">. </w:t>
      </w:r>
      <w:r w:rsidR="002A0C7E">
        <w:t>Som en generell regel skal a</w:t>
      </w:r>
      <w:r w:rsidR="009B336A">
        <w:t>lle som arbeider for eller utfører arbeid for Oslo universitetssykehus HF</w:t>
      </w:r>
      <w:r w:rsidR="00493399">
        <w:t xml:space="preserve"> bevare taushet </w:t>
      </w:r>
      <w:r w:rsidR="002A0C7E">
        <w:t>om</w:t>
      </w:r>
      <w:r w:rsidR="00C163C5">
        <w:t xml:space="preserve"> forhold som man </w:t>
      </w:r>
      <w:r w:rsidR="002A0C7E">
        <w:t>blir kjent med</w:t>
      </w:r>
      <w:r w:rsidR="009B336A">
        <w:t xml:space="preserve"> i </w:t>
      </w:r>
      <w:r w:rsidR="002A0C7E">
        <w:t xml:space="preserve">utførelse av </w:t>
      </w:r>
      <w:r w:rsidR="009B336A">
        <w:t>jobben sin</w:t>
      </w:r>
      <w:r w:rsidR="002A0C7E">
        <w:t>.</w:t>
      </w:r>
      <w:r w:rsidR="009B336A">
        <w:t xml:space="preserve"> jf. forvaltningsloven § 13 første ledd nr. 1 og 2.</w:t>
      </w:r>
      <w:r w:rsidR="00493399">
        <w:t>n § 13.</w:t>
      </w:r>
      <w:r w:rsidR="000941BF">
        <w:t xml:space="preserve"> </w:t>
      </w:r>
      <w:r w:rsidR="00B2089F">
        <w:t>Taushetsplikten gjelder med mindre noe annet er bestemt i eller i medhold av lov. Formålet er at arbeidstakere og pasienter skal ha tillit til at opplysninger om dem forvaltes forsvarlig og ikke spres mer enn nødvendig.</w:t>
      </w:r>
    </w:p>
    <w:p w:rsidR="00493399" w:rsidRDefault="000941BF" w:rsidP="004160BE">
      <w:r>
        <w:t xml:space="preserve"> </w:t>
      </w:r>
      <w:r w:rsidR="00B2089F">
        <w:t xml:space="preserve">I tillegg de generelle reglene i forvaltningsloven, er det egne taushetsbestemmelser i helse- og omsorgstjenesten. </w:t>
      </w:r>
    </w:p>
    <w:p w:rsidR="004160BE" w:rsidRPr="004160BE" w:rsidRDefault="004160BE" w:rsidP="004160BE">
      <w:pPr>
        <w:rPr>
          <w:b/>
        </w:rPr>
      </w:pPr>
      <w:r w:rsidRPr="00BC7219">
        <w:t xml:space="preserve">Taushetsplikten i </w:t>
      </w:r>
      <w:r w:rsidR="00B2089F">
        <w:t>spesialist</w:t>
      </w:r>
      <w:r w:rsidRPr="00BC7219">
        <w:t xml:space="preserve">helsetjenesten verner om </w:t>
      </w:r>
      <w:r w:rsidR="009131A2">
        <w:t>pasientens legems- og sykdomsforhold, sa</w:t>
      </w:r>
      <w:r w:rsidR="00727861">
        <w:t>mt andre personlige forhold som de får vite om i egenskap av å være helsepersonell, jf. hpl. § 21.</w:t>
      </w:r>
      <w:r w:rsidR="009131A2">
        <w:t xml:space="preserve">  Opplysningene skal behandles med varsomhet og respekt for integriteten til den opplysningene gjelder. </w:t>
      </w:r>
      <w:r w:rsidR="00187A2B">
        <w:t>Taushetsplikten i behandler- pasientforhold gjelder ikke kun plikten til å tie, men det betyr at helsepersonell skal aktivt hindre andre i å bli kjent med opplysningene, som også gjelder overfor domstolen i straffesaker</w:t>
      </w:r>
      <w:r w:rsidR="003A7B93">
        <w:t>, med mindre helsepersonellet kan bevise en tiltalt</w:t>
      </w:r>
      <w:r w:rsidR="008010BF">
        <w:t>es</w:t>
      </w:r>
      <w:r w:rsidR="003A7B93">
        <w:t xml:space="preserve"> uskyld</w:t>
      </w:r>
      <w:r w:rsidR="00187A2B">
        <w:t xml:space="preserve">. Taushetsplikten faller </w:t>
      </w:r>
      <w:r w:rsidR="009131A2">
        <w:t xml:space="preserve">bort </w:t>
      </w:r>
      <w:r w:rsidR="00187A2B">
        <w:t>dersom det foreligger rett i lov eller etter samtykke fra pasienten. Samtykke gir ikke rett til å gjøre oppslag i pasientjournalen på egen hånd.</w:t>
      </w:r>
      <w:r w:rsidR="009131A2">
        <w:t xml:space="preserve"> Dersom helsepersonell tilgjengeliggjør opplysninger som er omfattet av taushetsplikt, skal pasienten informeres</w:t>
      </w:r>
      <w:r w:rsidR="00493399">
        <w:t xml:space="preserve"> om at opplysningene er gjort tilgjengelige og hvilke </w:t>
      </w:r>
      <w:r w:rsidR="003A7B93">
        <w:t>opplysninger det dreier seg om.</w:t>
      </w:r>
      <w:r w:rsidR="00493399">
        <w:t xml:space="preserve">, jf. pasient og </w:t>
      </w:r>
      <w:r w:rsidR="00EE0D82">
        <w:t>brukerretighetsloven</w:t>
      </w:r>
      <w:r w:rsidR="00493399">
        <w:t xml:space="preserve"> § 3-6.</w:t>
      </w:r>
      <w:r w:rsidRPr="00BC7219">
        <w:t xml:space="preserve"> </w:t>
      </w:r>
      <w:r w:rsidR="00493399">
        <w:t>Dette gjelder blant annet opplysninger som mottas muntlig, prøvesvar og opplysninger i pasientjournalen</w:t>
      </w:r>
      <w:r w:rsidR="00BE6FAC">
        <w:t xml:space="preserve">, jf. hpl. kap. </w:t>
      </w:r>
      <w:r w:rsidR="00187A2B">
        <w:t xml:space="preserve"> 8. </w:t>
      </w:r>
      <w:r w:rsidRPr="00BC7219">
        <w:t xml:space="preserve"> </w:t>
      </w:r>
      <w:r w:rsidR="00EE0D82">
        <w:t xml:space="preserve">Formålet med taushetsplikten er at alle pasienter skal føle seg trygge på at de kan fortelle «hele historien» til behandler, uten frykt for at opplysningene spres.  </w:t>
      </w:r>
    </w:p>
    <w:p w:rsidR="004160BE" w:rsidRPr="00BC7219" w:rsidRDefault="004160BE" w:rsidP="004160BE">
      <w:r w:rsidRPr="004160BE">
        <w:rPr>
          <w:b/>
          <w:color w:val="1F497D" w:themeColor="text2"/>
        </w:rPr>
        <w:t>OMFANG</w:t>
      </w:r>
      <w:r>
        <w:rPr>
          <w:b/>
        </w:rPr>
        <w:br/>
      </w:r>
      <w:r w:rsidRPr="00BC7219">
        <w:t xml:space="preserve">Taushetsplikten gjelder opplysninger om folks legems- eller sykdomsforhold, </w:t>
      </w:r>
      <w:r w:rsidR="00C37771" w:rsidRPr="00BC7219">
        <w:t>opplysninger</w:t>
      </w:r>
      <w:r w:rsidRPr="00BC7219">
        <w:t xml:space="preserve"> om andre personlige forhold, opplysninger om tekniske innretninger, fremgangsmåter og forretningsforhold av konkurransemessig betydning, opplysninger av betydning for informasjonssikkerheten og opplysninger som det av andre grunner må sikres konfidensialitet for</w:t>
      </w:r>
      <w:r w:rsidR="00A0015E">
        <w:t xml:space="preserve">, og </w:t>
      </w:r>
      <w:r w:rsidRPr="00BC7219">
        <w:t xml:space="preserve">som undertegnede får tilgang til i tilknytning til opphold ved, i samarbeid med, i avtale med eller i arbeid/oppdrag for Oslo universitetssykehus. Det er også forbudt å tilegne seg taushetsbelagte </w:t>
      </w:r>
      <w:r w:rsidRPr="00BC7219">
        <w:lastRenderedPageBreak/>
        <w:t>opplysninger på en urettmessig måte</w:t>
      </w:r>
      <w:r w:rsidR="00A0015E" w:rsidRPr="003E6313">
        <w:t>, eksempelvis lesing i journal uten tjenstlig behov</w:t>
      </w:r>
      <w:r w:rsidR="00EE0D82">
        <w:t>, jf. helsepersonelloven (hpl.) § 21</w:t>
      </w:r>
      <w:r w:rsidR="00B2089F">
        <w:t>a.</w:t>
      </w:r>
      <w:r w:rsidRPr="004160BE">
        <w:t xml:space="preserve"> </w:t>
      </w:r>
    </w:p>
    <w:p w:rsidR="004160BE" w:rsidRDefault="004160BE" w:rsidP="004160BE">
      <w:r w:rsidRPr="00BC7219">
        <w:t>Taushetsplikten gjelder også etter at tjeneste eller arbeid er avsluttet</w:t>
      </w:r>
      <w:r w:rsidR="00EE0D82">
        <w:t>, jf. straffeloven § 209</w:t>
      </w:r>
      <w:r w:rsidR="00A85F5F">
        <w:t>, tredje ledd</w:t>
      </w:r>
      <w:r w:rsidRPr="00BC7219">
        <w:t xml:space="preserve">. </w:t>
      </w:r>
      <w:r w:rsidR="00C37771">
        <w:br/>
      </w:r>
    </w:p>
    <w:p w:rsidR="00144091" w:rsidRDefault="004160BE" w:rsidP="004160BE">
      <w:pPr>
        <w:rPr>
          <w:b/>
          <w:color w:val="1F497D" w:themeColor="text2"/>
        </w:rPr>
      </w:pPr>
      <w:r w:rsidRPr="004160BE">
        <w:rPr>
          <w:b/>
          <w:noProof/>
          <w:color w:val="1F497D" w:themeColor="text2"/>
          <w:lang w:eastAsia="nb-NO"/>
        </w:rPr>
        <mc:AlternateContent>
          <mc:Choice Requires="wps">
            <w:drawing>
              <wp:inline distT="0" distB="0" distL="0" distR="0" wp14:anchorId="10E16570" wp14:editId="31FD4418">
                <wp:extent cx="6479540" cy="2222316"/>
                <wp:effectExtent l="0" t="0" r="16510" b="26035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222231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B93" w:rsidRPr="004160BE" w:rsidRDefault="003A7B93" w:rsidP="004160BE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4160BE">
                              <w:rPr>
                                <w:b/>
                                <w:color w:val="1F497D" w:themeColor="text2"/>
                              </w:rPr>
                              <w:t>VEILEDNING</w:t>
                            </w:r>
                            <w:r>
                              <w:rPr>
                                <w:b/>
                                <w:color w:val="1F497D" w:themeColor="text2"/>
                              </w:rPr>
                              <w:br/>
                            </w:r>
                            <w:r w:rsidRPr="00BC7219">
                              <w:t xml:space="preserve">Å gi informasjon om pasienter vil kunne være i strid med taushetsplikten. Helsepersonell plikter ikke å svare på spørsmål om pasientens tilstand, </w:t>
                            </w:r>
                            <w:r>
                              <w:t xml:space="preserve">heller ikke </w:t>
                            </w:r>
                            <w:r w:rsidRPr="00BC7219">
                              <w:t xml:space="preserve">om vedkommende er innlagt. Å informere om at pasienten er innlagt er brudd på taushetsplikten dersom pasienten har gitt uttrykk for at han ønsker full anonymitet. Er du i tvil om hvilken informasjon som kan gis i en konkret sak, bør spørsmålet avklares med </w:t>
                            </w:r>
                            <w:r>
                              <w:t>nærmeste leder eller pasienten selv.</w:t>
                            </w:r>
                          </w:p>
                          <w:p w:rsidR="003A7B93" w:rsidRPr="009E645A" w:rsidRDefault="003A7B93" w:rsidP="004160BE">
                            <w:r w:rsidRPr="00BC7219">
                              <w:t>Oslo universitetssykehus har konsesjon for oppslag i folkeregisteret under forutsetning av at det kun innhentes opplysninger om pasienter som er til utredning eller behandling</w:t>
                            </w:r>
                            <w:r>
                              <w:t>.</w:t>
                            </w:r>
                            <w:r w:rsidRPr="00BC7219">
                              <w:t xml:space="preserve"> Oppslag i folkeregisteret som ikke er knyttet til egne arbeidsoppgaver er ulovlig. Tilsvarende er det ulovlig å slå opp i systemets pasientregister uten at det er direkte knyttet til egne arbeidsoppgaver.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E1657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510.2pt;height:1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" fillcolor="#dbe5f1 [660]" strokecolor="#1f497d [3215]" strokeweight="1.5pt">
                <v:textbox>
                  <w:txbxContent>
                    <w:p w:rsidR="003A7B93" w:rsidRPr="004160BE" w:rsidRDefault="003A7B93" w:rsidP="004160BE">
                      <w:pPr>
                        <w:rPr>
                          <w:b/>
                          <w:color w:val="1F497D" w:themeColor="text2"/>
                        </w:rPr>
                      </w:pPr>
                      <w:r w:rsidRPr="004160BE">
                        <w:rPr>
                          <w:b/>
                          <w:color w:val="1F497D" w:themeColor="text2"/>
                        </w:rPr>
                        <w:t>VEILEDNING</w:t>
                      </w:r>
                      <w:r>
                        <w:rPr>
                          <w:b/>
                          <w:color w:val="1F497D" w:themeColor="text2"/>
                        </w:rPr>
                        <w:br/>
                      </w:r>
                      <w:r w:rsidRPr="00BC7219">
                        <w:t xml:space="preserve">Å gi informasjon om pasienter vil kunne være i strid med taushetsplikten. Helsepersonell plikter ikke å svare på spørsmål om pasientens tilstand, </w:t>
                      </w:r>
                      <w:r>
                        <w:t xml:space="preserve">heller ikke </w:t>
                      </w:r>
                      <w:r w:rsidRPr="00BC7219">
                        <w:t xml:space="preserve">om vedkommende er innlagt. Å informere om at pasienten er innlagt er brudd på taushetsplikten dersom pasienten har gitt uttrykk for at han ønsker full anonymitet. Er du i tvil om hvilken informasjon som kan gis i en konkret sak, bør spørsmålet avklares med </w:t>
                      </w:r>
                      <w:r>
                        <w:t>nærmeste leder eller pasienten selv.</w:t>
                      </w:r>
                    </w:p>
                    <w:p w:rsidR="003A7B93" w:rsidRPr="009E645A" w:rsidRDefault="003A7B93" w:rsidP="004160BE">
                      <w:r w:rsidRPr="00BC7219">
                        <w:t>Oslo universitetssykehus har konsesjon for oppslag i folkeregisteret under forutsetning av at det kun innhentes opplysninger om pasienter som er til utredning eller behandling</w:t>
                      </w:r>
                      <w:r>
                        <w:t>.</w:t>
                      </w:r>
                      <w:r w:rsidRPr="00BC7219">
                        <w:t xml:space="preserve"> Oppslag i folkeregisteret som ikke er knyttet til egne arbeidsoppgaver er ulovlig. Tilsvarende er det ulovlig å slå opp i systemets pasientregister uten at det er direkte knyttet til egne arbeidsoppgaver.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B93" w:rsidRDefault="003A7B93" w:rsidP="004160BE">
      <w:pPr>
        <w:rPr>
          <w:b/>
          <w:color w:val="1F497D" w:themeColor="text2"/>
        </w:rPr>
      </w:pPr>
    </w:p>
    <w:p w:rsidR="004160BE" w:rsidRPr="004160BE" w:rsidRDefault="004160BE" w:rsidP="004160BE">
      <w:pPr>
        <w:rPr>
          <w:b/>
        </w:rPr>
      </w:pPr>
      <w:r w:rsidRPr="004160BE">
        <w:rPr>
          <w:b/>
          <w:color w:val="1F497D" w:themeColor="text2"/>
        </w:rPr>
        <w:t>LOVKRAV</w:t>
      </w:r>
      <w:r w:rsidR="00144091">
        <w:rPr>
          <w:b/>
        </w:rPr>
        <w:br/>
      </w:r>
      <w:r w:rsidRPr="00C37771">
        <w:rPr>
          <w:b/>
        </w:rPr>
        <w:t>Det følgende beskriver lovpålagt taushetsplikt:</w:t>
      </w:r>
    </w:p>
    <w:p w:rsidR="001F31DE" w:rsidRDefault="001F31DE" w:rsidP="00227D01">
      <w:pPr>
        <w:numPr>
          <w:ilvl w:val="0"/>
          <w:numId w:val="19"/>
        </w:numPr>
        <w:spacing w:after="0" w:line="240" w:lineRule="auto"/>
      </w:pPr>
      <w:r>
        <w:t>Helsepersonell skal hindre at andre får kjennskap til folks legems- eller sykdomsforhold eller andre personlige forhold som de får vite om i kraft av å være helsepersonell, jf. helsepersonelloven (</w:t>
      </w:r>
      <w:r w:rsidR="00A85F5F">
        <w:t>hpl.</w:t>
      </w:r>
      <w:r>
        <w:t>)</w:t>
      </w:r>
      <w:r w:rsidR="00A85F5F">
        <w:t xml:space="preserve"> § 21 </w:t>
      </w:r>
      <w:r w:rsidR="00227D01">
        <w:t>–</w:t>
      </w:r>
      <w:r w:rsidR="00A85F5F">
        <w:t xml:space="preserve"> </w:t>
      </w:r>
      <w:r w:rsidR="00227D01">
        <w:t>flg.</w:t>
      </w:r>
      <w:r w:rsidR="004160BE" w:rsidRPr="00BC7219">
        <w:t xml:space="preserve"> </w:t>
      </w:r>
      <w:r w:rsidR="00227D01">
        <w:t>Konfidensialiteten skal gjennomføres i tråd med Lov om pasient- og brukerrettigheter § 3-6</w:t>
      </w:r>
    </w:p>
    <w:p w:rsidR="001F31DE" w:rsidRPr="00BC7219" w:rsidRDefault="001F31DE" w:rsidP="001F31DE">
      <w:pPr>
        <w:numPr>
          <w:ilvl w:val="0"/>
          <w:numId w:val="19"/>
        </w:numPr>
        <w:spacing w:after="0" w:line="240" w:lineRule="auto"/>
      </w:pPr>
      <w:r>
        <w:t>D</w:t>
      </w:r>
      <w:r w:rsidRPr="00BC7219">
        <w:t>et</w:t>
      </w:r>
      <w:r>
        <w:t xml:space="preserve"> er</w:t>
      </w:r>
      <w:r w:rsidRPr="00BC7219">
        <w:t xml:space="preserve"> forbudt å </w:t>
      </w:r>
      <w:r>
        <w:t xml:space="preserve">lese, søke etter eller på annen måte tilegne seg, bruke eller besitte </w:t>
      </w:r>
      <w:r w:rsidRPr="00BC7219">
        <w:t>taushetsbelagte opplysninger</w:t>
      </w:r>
      <w:r>
        <w:t>, ved oppslag i elektronisk pasientjournal, med mindre det er begrunnet i helsehjelp, administrasjon av slik helsehjelp, eller har sær</w:t>
      </w:r>
      <w:r w:rsidR="00227D01">
        <w:t>s</w:t>
      </w:r>
      <w:r>
        <w:t>kilt hjemmel i lov eller i forskrift med hjemmel i lov, jf. hpl. § 21 a, jf. pasientjournalloven § 16.</w:t>
      </w:r>
    </w:p>
    <w:p w:rsidR="004160BE" w:rsidRPr="00BC7219" w:rsidRDefault="001F31DE" w:rsidP="001F31DE">
      <w:pPr>
        <w:numPr>
          <w:ilvl w:val="0"/>
          <w:numId w:val="19"/>
        </w:numPr>
        <w:spacing w:after="0" w:line="240" w:lineRule="auto"/>
      </w:pPr>
      <w:r>
        <w:t>Alle som utfører tjeneste for helseinstitusjon som omfattes av loven har taushetsplikt etter forvaltningsloven §§ 13 til 13 e og g</w:t>
      </w:r>
      <w:r w:rsidR="00227D01">
        <w:t>, jf. spesialisthelsetjenesteloven § 6-1.</w:t>
      </w:r>
    </w:p>
    <w:p w:rsidR="004160BE" w:rsidRPr="00BC7219" w:rsidRDefault="00227D01">
      <w:pPr>
        <w:numPr>
          <w:ilvl w:val="0"/>
          <w:numId w:val="19"/>
        </w:numPr>
        <w:spacing w:after="0" w:line="240" w:lineRule="auto"/>
      </w:pPr>
      <w:r>
        <w:t>Alle som behandler helseopplysninger i tråd med helseregisterloven har taushetsplikt i tråd med hpl.</w:t>
      </w:r>
      <w:r w:rsidR="003A7B93">
        <w:t xml:space="preserve"> </w:t>
      </w:r>
      <w:r>
        <w:t xml:space="preserve">§§ 21 flg. jf. </w:t>
      </w:r>
      <w:r w:rsidR="004160BE" w:rsidRPr="00BC7219">
        <w:t>helseregisterloven § 1</w:t>
      </w:r>
      <w:r w:rsidR="004160BE">
        <w:t>7</w:t>
      </w:r>
      <w:r>
        <w:t>.</w:t>
      </w:r>
      <w:r w:rsidR="004160BE" w:rsidRPr="00BC7219">
        <w:t xml:space="preserve"> </w:t>
      </w:r>
    </w:p>
    <w:p w:rsidR="004160BE" w:rsidRDefault="003A7B93" w:rsidP="004C616C">
      <w:pPr>
        <w:numPr>
          <w:ilvl w:val="0"/>
          <w:numId w:val="19"/>
        </w:numPr>
        <w:spacing w:after="0" w:line="240" w:lineRule="auto"/>
      </w:pPr>
      <w:r>
        <w:t xml:space="preserve">Enhver som utfører tjeneste for Oslo universitetssykehus HF plikter å hindre at andre får kjennskap til det hen får vite om noens personlige forhold, om tekniske innretninger, fremgangsmåter og forretningsforhold av konkurransemessig betydning, jf. </w:t>
      </w:r>
      <w:r w:rsidR="004160BE" w:rsidRPr="00BC7219">
        <w:t>§ 13</w:t>
      </w:r>
      <w:r w:rsidR="00A85F5F">
        <w:t>, første</w:t>
      </w:r>
      <w:r>
        <w:t xml:space="preserve"> </w:t>
      </w:r>
      <w:r w:rsidR="00A85F5F">
        <w:t>ledd</w:t>
      </w:r>
      <w:r w:rsidR="008010BF">
        <w:t>, nr. 1 og 2</w:t>
      </w:r>
      <w:r>
        <w:t>.</w:t>
      </w:r>
      <w:r w:rsidR="004160BE" w:rsidRPr="00BC7219">
        <w:t xml:space="preserve"> </w:t>
      </w:r>
    </w:p>
    <w:p w:rsidR="003A7B93" w:rsidRDefault="003A7B93" w:rsidP="004C616C">
      <w:pPr>
        <w:spacing w:after="0" w:line="240" w:lineRule="auto"/>
        <w:ind w:left="644"/>
      </w:pPr>
    </w:p>
    <w:p w:rsidR="003A7B93" w:rsidRPr="00BC7219" w:rsidRDefault="003A7B93" w:rsidP="004C616C">
      <w:pPr>
        <w:spacing w:after="0" w:line="240" w:lineRule="auto"/>
        <w:ind w:left="644"/>
      </w:pPr>
    </w:p>
    <w:p w:rsidR="004160BE" w:rsidRPr="004160BE" w:rsidRDefault="004160BE" w:rsidP="004160BE">
      <w:pPr>
        <w:rPr>
          <w:b/>
          <w:color w:val="1F497D" w:themeColor="text2"/>
        </w:rPr>
      </w:pPr>
      <w:r w:rsidRPr="004160BE">
        <w:rPr>
          <w:b/>
          <w:color w:val="1F497D" w:themeColor="text2"/>
        </w:rPr>
        <w:t>TAUSHETSBRUDD</w:t>
      </w:r>
    </w:p>
    <w:p w:rsidR="004160BE" w:rsidRPr="00BC7219" w:rsidRDefault="003A7B93" w:rsidP="00C37771">
      <w:pPr>
        <w:pStyle w:val="Listeavsnitt"/>
        <w:numPr>
          <w:ilvl w:val="0"/>
          <w:numId w:val="20"/>
        </w:numPr>
      </w:pPr>
      <w:r>
        <w:t xml:space="preserve">Det er straffbart å overtre bestemmelsene i helsepersonelloven, herunder bestemmelsene om taushetsplikt, jf. hpl. </w:t>
      </w:r>
      <w:r w:rsidR="004160BE" w:rsidRPr="00BC7219">
        <w:t xml:space="preserve"> § 67</w:t>
      </w:r>
      <w:r>
        <w:t>.</w:t>
      </w:r>
      <w:r w:rsidR="004160BE" w:rsidRPr="00BC7219">
        <w:t xml:space="preserve"> </w:t>
      </w:r>
    </w:p>
    <w:p w:rsidR="004160BE" w:rsidRPr="00BC7219" w:rsidRDefault="003A7B93" w:rsidP="00C37771">
      <w:pPr>
        <w:pStyle w:val="Listeavsnitt"/>
        <w:numPr>
          <w:ilvl w:val="0"/>
          <w:numId w:val="20"/>
        </w:numPr>
      </w:pPr>
      <w:r>
        <w:t>D</w:t>
      </w:r>
      <w:r w:rsidRPr="00BC7219">
        <w:t>et straffbart å krenke taushetsplikt pålagt i henhold til lovbestemmelse</w:t>
      </w:r>
      <w:r>
        <w:t xml:space="preserve">, forskrift eller gyldig instruks i arbeidsforhold og i tråd med forvaltningsloven, jf. </w:t>
      </w:r>
      <w:r w:rsidR="004160BE" w:rsidRPr="00BC7219">
        <w:t xml:space="preserve"> straffeloven §</w:t>
      </w:r>
      <w:r w:rsidR="004160BE">
        <w:t>§ 209-210</w:t>
      </w:r>
      <w:r w:rsidR="004160BE" w:rsidRPr="00BC7219">
        <w:t xml:space="preserve"> </w:t>
      </w:r>
      <w:bookmarkStart w:id="0" w:name="_GoBack"/>
      <w:bookmarkEnd w:id="0"/>
      <w:r w:rsidR="004160BE" w:rsidRPr="00BC7219">
        <w:t xml:space="preserve"> </w:t>
      </w:r>
    </w:p>
    <w:p w:rsidR="00B50719" w:rsidRDefault="004160BE">
      <w:pPr>
        <w:pStyle w:val="Listeavsnitt"/>
        <w:numPr>
          <w:ilvl w:val="0"/>
          <w:numId w:val="20"/>
        </w:numPr>
      </w:pPr>
      <w:r w:rsidRPr="00BC7219">
        <w:t>Oslo universitetssykehus betrakter taushetsbrudd som tjenesteforsømmelse eller</w:t>
      </w:r>
      <w:r w:rsidR="00DA5BC6">
        <w:t xml:space="preserve"> et alvorlig</w:t>
      </w:r>
      <w:r w:rsidRPr="00BC7219">
        <w:t xml:space="preserve"> brudd på avtale</w:t>
      </w:r>
      <w:r w:rsidR="00DA5BC6">
        <w:t>n</w:t>
      </w:r>
      <w:r w:rsidRPr="00BC7219">
        <w:t xml:space="preserve"> med sykehuset. Taushetsbrudd kan få følger for </w:t>
      </w:r>
      <w:r w:rsidR="00CA4B5D">
        <w:t xml:space="preserve">din tilknytning til </w:t>
      </w:r>
      <w:r>
        <w:t xml:space="preserve">eller </w:t>
      </w:r>
      <w:r w:rsidR="00CA4B5D">
        <w:t xml:space="preserve">ditt </w:t>
      </w:r>
      <w:r>
        <w:t>avtaleforhold</w:t>
      </w:r>
      <w:r w:rsidR="00CA4B5D">
        <w:t xml:space="preserve"> med Oslo universitets</w:t>
      </w:r>
      <w:r w:rsidR="00061AF5">
        <w:t>s</w:t>
      </w:r>
      <w:r w:rsidR="00CA4B5D">
        <w:t>ykehus</w:t>
      </w:r>
      <w:r>
        <w:t>.</w:t>
      </w:r>
    </w:p>
    <w:p w:rsidR="00B50719" w:rsidRPr="004C616C" w:rsidRDefault="00B50719" w:rsidP="004C616C">
      <w:pPr>
        <w:ind w:left="360"/>
      </w:pPr>
    </w:p>
    <w:p w:rsidR="004160BE" w:rsidRDefault="00B50719" w:rsidP="004C616C">
      <w:r w:rsidRPr="004C616C">
        <w:rPr>
          <w:b/>
          <w:color w:val="1F497D" w:themeColor="text2"/>
        </w:rPr>
        <w:t>UNNTAK FRA TAUSHETSPLIKTEN</w:t>
      </w:r>
      <w:r w:rsidR="00C37771">
        <w:br/>
      </w:r>
      <w:r>
        <w:t xml:space="preserve">Unntak fra taushetsplikten må fremgå av lov. </w:t>
      </w:r>
    </w:p>
    <w:p w:rsidR="00B50719" w:rsidRDefault="00B50719" w:rsidP="004C616C">
      <w:pPr>
        <w:pStyle w:val="Listeavsnitt"/>
        <w:numPr>
          <w:ilvl w:val="0"/>
          <w:numId w:val="21"/>
        </w:numPr>
      </w:pPr>
      <w:r>
        <w:t>Samtykke fra pasienten, jf. hpl. § 22</w:t>
      </w:r>
    </w:p>
    <w:p w:rsidR="00B50719" w:rsidRPr="00BC7219" w:rsidRDefault="00B50719" w:rsidP="004C616C">
      <w:pPr>
        <w:pStyle w:val="Listeavsnitt"/>
        <w:numPr>
          <w:ilvl w:val="0"/>
          <w:numId w:val="21"/>
        </w:numPr>
      </w:pPr>
      <w:r>
        <w:t>Lovbestemmelser som innebærer at taushetsplikten for enkelte opplysninger erstattes av en opplysningsplikt, f.eks. dersom det er nødvendig for å avverge en alvorlig skade på et annet menneske, jf. hpl. § 31. NB! Taushetsplikten er i behold for de opplysningene som ikke skal leveres ut.</w:t>
      </w:r>
    </w:p>
    <w:p w:rsidR="004160BE" w:rsidRPr="004160BE" w:rsidRDefault="004160BE" w:rsidP="004160BE">
      <w:pPr>
        <w:rPr>
          <w:b/>
          <w:color w:val="1F497D" w:themeColor="text2"/>
        </w:rPr>
      </w:pPr>
      <w:r w:rsidRPr="004160BE">
        <w:rPr>
          <w:b/>
          <w:color w:val="1F497D" w:themeColor="text2"/>
        </w:rPr>
        <w:t>ERKLÆRING</w:t>
      </w:r>
    </w:p>
    <w:p w:rsidR="00130DB4" w:rsidRPr="00342889" w:rsidRDefault="004160BE" w:rsidP="003E6313">
      <w:r w:rsidRPr="00BC7219">
        <w:t>Undertegnede er kjent med den lovpålagte taushetsplikt som gjelder, herunder hvilke opplysninger som er omfattet av taushetsplikten og at taushetsbrudd kan medføre straffeansvar. Undertegnede er videre kjent med at i Oslo universitetssykehus betraktes taushetsbrudd som tjenesteforsømmelse</w:t>
      </w:r>
      <w:r w:rsidR="00CA4B5D">
        <w:t xml:space="preserve"> og </w:t>
      </w:r>
      <w:r w:rsidRPr="00BC7219">
        <w:t>brudd på avtale med sykehuset</w:t>
      </w:r>
      <w:r w:rsidR="006930E3">
        <w:tab/>
      </w:r>
      <w:r w:rsidR="006930E3">
        <w:tab/>
      </w:r>
      <w:r w:rsidR="006930E3">
        <w:tab/>
      </w:r>
      <w:r w:rsidR="006930E3">
        <w:tab/>
      </w:r>
      <w:r w:rsidR="006930E3">
        <w:tab/>
      </w:r>
      <w:r w:rsidR="006930E3">
        <w:tab/>
      </w:r>
    </w:p>
    <w:tbl>
      <w:tblPr>
        <w:tblStyle w:val="Tabellrutenet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2410"/>
        <w:gridCol w:w="7796"/>
      </w:tblGrid>
      <w:tr w:rsidR="00144091" w:rsidRPr="00E5201F" w:rsidTr="003E6313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144091" w:rsidRPr="00E5201F" w:rsidRDefault="00144091" w:rsidP="00493399">
            <w:pPr>
              <w:rPr>
                <w:sz w:val="20"/>
              </w:rPr>
            </w:pPr>
          </w:p>
          <w:p w:rsidR="00144091" w:rsidRPr="00E5201F" w:rsidRDefault="00144091" w:rsidP="00493399">
            <w:pPr>
              <w:rPr>
                <w:sz w:val="20"/>
              </w:rPr>
            </w:pPr>
            <w:r w:rsidRPr="00E5201F">
              <w:rPr>
                <w:sz w:val="20"/>
              </w:rPr>
              <w:t xml:space="preserve">Sted/dato: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144091" w:rsidRPr="00E5201F" w:rsidRDefault="00144091" w:rsidP="00493399">
            <w:pPr>
              <w:rPr>
                <w:sz w:val="20"/>
              </w:rPr>
            </w:pPr>
            <w:r>
              <w:rPr>
                <w:sz w:val="20"/>
              </w:rPr>
              <w:t>Signatur</w:t>
            </w:r>
            <w:r w:rsidRPr="00E5201F">
              <w:rPr>
                <w:sz w:val="20"/>
              </w:rPr>
              <w:t>:</w:t>
            </w:r>
          </w:p>
        </w:tc>
      </w:tr>
    </w:tbl>
    <w:p w:rsidR="003A38E8" w:rsidRDefault="003A38E8" w:rsidP="00AE71EB"/>
    <w:sectPr w:rsidR="003A38E8" w:rsidSect="00AE71EB">
      <w:headerReference w:type="default" r:id="rId8"/>
      <w:footerReference w:type="default" r:id="rId9"/>
      <w:pgSz w:w="11906" w:h="16838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FB" w:rsidRDefault="00FE59FB" w:rsidP="000464D2">
      <w:pPr>
        <w:spacing w:after="0" w:line="240" w:lineRule="auto"/>
      </w:pPr>
      <w:r>
        <w:separator/>
      </w:r>
    </w:p>
  </w:endnote>
  <w:endnote w:type="continuationSeparator" w:id="0">
    <w:p w:rsidR="00FE59FB" w:rsidRDefault="00FE59FB" w:rsidP="0004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H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MM_565 SB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RH Semi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MM_400 RG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i/>
        <w:noProof/>
        <w:color w:val="000000" w:themeColor="text1"/>
        <w:sz w:val="20"/>
        <w:szCs w:val="20"/>
        <w:lang w:eastAsia="nb-NO"/>
      </w:rPr>
      <w:id w:val="179161526"/>
      <w:docPartObj>
        <w:docPartGallery w:val="Page Numbers (Bottom of Page)"/>
        <w:docPartUnique/>
      </w:docPartObj>
    </w:sdtPr>
    <w:sdtEndPr>
      <w:rPr>
        <w:rFonts w:cstheme="minorHAnsi"/>
        <w:sz w:val="18"/>
        <w:szCs w:val="18"/>
      </w:rPr>
    </w:sdtEndPr>
    <w:sdtContent>
      <w:sdt>
        <w:sdtPr>
          <w:rPr>
            <w:rFonts w:ascii="Times New Roman" w:eastAsia="Times New Roman" w:hAnsi="Times New Roman" w:cs="Times New Roman"/>
            <w:i/>
            <w:noProof/>
            <w:color w:val="000000" w:themeColor="text1"/>
            <w:sz w:val="20"/>
            <w:szCs w:val="20"/>
            <w:lang w:eastAsia="nb-NO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cstheme="minorHAnsi"/>
            <w:sz w:val="18"/>
            <w:szCs w:val="18"/>
          </w:rPr>
        </w:sdtEndPr>
        <w:sdtContent>
          <w:p w:rsidR="003A7B93" w:rsidRPr="003A38E8" w:rsidRDefault="003A7B93" w:rsidP="003A38E8">
            <w:pPr>
              <w:pStyle w:val="Bunntekst"/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  <w:tbl>
            <w:tblPr>
              <w:tblStyle w:val="Tabellrutenett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9"/>
              <w:gridCol w:w="2847"/>
            </w:tblGrid>
            <w:tr w:rsidR="003A7B93" w:rsidTr="00342889">
              <w:tc>
                <w:tcPr>
                  <w:tcW w:w="7359" w:type="dxa"/>
                </w:tcPr>
                <w:p w:rsidR="003A7B93" w:rsidRDefault="003A7B93" w:rsidP="004160BE">
                  <w:pPr>
                    <w:pStyle w:val="Ref"/>
                    <w:ind w:left="0"/>
                    <w:rPr>
                      <w:rFonts w:asciiTheme="minorHAnsi" w:hAnsiTheme="minorHAnsi" w:cstheme="minorHAnsi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color w:val="000000" w:themeColor="text1"/>
                      <w:sz w:val="18"/>
                      <w:szCs w:val="18"/>
                    </w:rPr>
                    <w:t>OUS - Taushetserklæring</w:t>
                  </w:r>
                </w:p>
              </w:tc>
              <w:tc>
                <w:tcPr>
                  <w:tcW w:w="2847" w:type="dxa"/>
                </w:tcPr>
                <w:p w:rsidR="003A7B93" w:rsidRPr="00C37771" w:rsidRDefault="003A7B93" w:rsidP="003C0024">
                  <w:pPr>
                    <w:pStyle w:val="Ref"/>
                    <w:ind w:left="0"/>
                    <w:jc w:val="right"/>
                    <w:rPr>
                      <w:rFonts w:asciiTheme="minorHAnsi" w:hAnsiTheme="minorHAnsi" w:cstheme="minorHAnsi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color w:val="333333"/>
                      <w:sz w:val="20"/>
                      <w:szCs w:val="21"/>
                      <w:shd w:val="clear" w:color="auto" w:fill="FFFFFF"/>
                    </w:rPr>
                    <w:t xml:space="preserve">Id: </w:t>
                  </w:r>
                  <w:r w:rsidRPr="00C37771">
                    <w:rPr>
                      <w:rFonts w:ascii="Calibri" w:hAnsi="Calibri"/>
                      <w:bCs/>
                      <w:color w:val="333333"/>
                      <w:sz w:val="20"/>
                      <w:szCs w:val="21"/>
                      <w:shd w:val="clear" w:color="auto" w:fill="FFFFFF"/>
                    </w:rPr>
                    <w:t>44085</w:t>
                  </w:r>
                </w:p>
              </w:tc>
            </w:tr>
            <w:tr w:rsidR="003A7B93" w:rsidTr="00342889">
              <w:tc>
                <w:tcPr>
                  <w:tcW w:w="7359" w:type="dxa"/>
                </w:tcPr>
                <w:p w:rsidR="003A7B93" w:rsidRPr="00C37771" w:rsidRDefault="00FE59FB" w:rsidP="00C37771">
                  <w:pPr>
                    <w:pStyle w:val="Ref"/>
                    <w:ind w:left="0"/>
                    <w:rPr>
                      <w:rFonts w:asciiTheme="minorHAnsi" w:hAnsiTheme="minorHAnsi" w:cstheme="minorHAnsi"/>
                      <w:i/>
                      <w:color w:val="000000" w:themeColor="text1"/>
                      <w:sz w:val="20"/>
                      <w:szCs w:val="18"/>
                    </w:rPr>
                  </w:pPr>
                  <w:hyperlink r:id="rId1" w:history="1">
                    <w:r w:rsidR="003A7B93" w:rsidRPr="00C37771">
                      <w:rPr>
                        <w:rStyle w:val="Hyperkobling"/>
                        <w:rFonts w:asciiTheme="minorHAnsi" w:hAnsiTheme="minorHAnsi"/>
                        <w:sz w:val="20"/>
                      </w:rPr>
                      <w:t>eHåndbok - Taushetserklæring (ous-hf.no)</w:t>
                    </w:r>
                  </w:hyperlink>
                  <w:r w:rsidR="003A7B93" w:rsidRPr="00C37771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18"/>
                      <w:shd w:val="clear" w:color="auto" w:fill="FFFFFF"/>
                    </w:rPr>
                    <w:t xml:space="preserve">                                                                       </w:t>
                  </w:r>
                </w:p>
              </w:tc>
              <w:tc>
                <w:tcPr>
                  <w:tcW w:w="2847" w:type="dxa"/>
                </w:tcPr>
                <w:p w:rsidR="003A7B93" w:rsidRDefault="003A7B93" w:rsidP="003C0024">
                  <w:pPr>
                    <w:pStyle w:val="Ref"/>
                    <w:ind w:left="0"/>
                    <w:jc w:val="right"/>
                    <w:rPr>
                      <w:rFonts w:asciiTheme="minorHAnsi" w:hAnsiTheme="minorHAnsi" w:cstheme="minorHAnsi"/>
                      <w:i/>
                      <w:color w:val="000000" w:themeColor="text1"/>
                      <w:sz w:val="18"/>
                      <w:szCs w:val="18"/>
                    </w:rPr>
                  </w:pPr>
                  <w:r w:rsidRPr="003C0024">
                    <w:rPr>
                      <w:rFonts w:asciiTheme="minorHAnsi" w:hAnsiTheme="minorHAnsi" w:cstheme="minorHAnsi"/>
                      <w:i/>
                      <w:color w:val="000000" w:themeColor="text1"/>
                      <w:sz w:val="18"/>
                      <w:szCs w:val="18"/>
                    </w:rPr>
                    <w:t xml:space="preserve">Side </w:t>
                  </w:r>
                  <w:r w:rsidRPr="003C0024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fldChar w:fldCharType="begin"/>
                  </w:r>
                  <w:r w:rsidRPr="003C0024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instrText>PAGE</w:instrText>
                  </w:r>
                  <w:r w:rsidRPr="003C0024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="00FE59FB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t>1</w:t>
                  </w:r>
                  <w:r w:rsidRPr="003C0024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3C0024">
                    <w:rPr>
                      <w:rFonts w:asciiTheme="minorHAnsi" w:hAnsiTheme="minorHAnsi" w:cstheme="minorHAnsi"/>
                      <w:i/>
                      <w:color w:val="000000" w:themeColor="text1"/>
                      <w:sz w:val="18"/>
                      <w:szCs w:val="18"/>
                    </w:rPr>
                    <w:t xml:space="preserve"> av </w:t>
                  </w:r>
                  <w:r w:rsidRPr="003C0024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fldChar w:fldCharType="begin"/>
                  </w:r>
                  <w:r w:rsidRPr="003C0024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instrText>NUMPAGES</w:instrText>
                  </w:r>
                  <w:r w:rsidRPr="003C0024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="00FE59FB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t>1</w:t>
                  </w:r>
                  <w:r w:rsidRPr="003C0024">
                    <w:rPr>
                      <w:rFonts w:asciiTheme="minorHAnsi" w:hAnsiTheme="minorHAnsi" w:cstheme="minorHAnsi"/>
                      <w:bCs/>
                      <w:i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3A7B93" w:rsidRPr="003C0024" w:rsidRDefault="00FE59FB" w:rsidP="003A38E8">
            <w:pPr>
              <w:pStyle w:val="Ref"/>
              <w:ind w:left="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FB" w:rsidRDefault="00FE59FB" w:rsidP="000464D2">
      <w:pPr>
        <w:spacing w:after="0" w:line="240" w:lineRule="auto"/>
      </w:pPr>
      <w:r>
        <w:separator/>
      </w:r>
    </w:p>
  </w:footnote>
  <w:footnote w:type="continuationSeparator" w:id="0">
    <w:p w:rsidR="00FE59FB" w:rsidRDefault="00FE59FB" w:rsidP="0004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93" w:rsidRDefault="003A7B93">
    <w:pPr>
      <w:pStyle w:val="Topptekst"/>
    </w:pPr>
    <w:r>
      <w:rPr>
        <w:noProof/>
        <w:lang w:eastAsia="nb-NO"/>
      </w:rPr>
      <w:drawing>
        <wp:inline distT="0" distB="0" distL="0" distR="0" wp14:anchorId="63F3B67A" wp14:editId="17AC4495">
          <wp:extent cx="2305050" cy="441893"/>
          <wp:effectExtent l="0" t="0" r="0" b="0"/>
          <wp:docPr id="22" name="Bil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US_2022_RGB(DIGIT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136" cy="46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7B93" w:rsidRPr="007131DE" w:rsidRDefault="003A7B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1B23CC"/>
    <w:multiLevelType w:val="hybridMultilevel"/>
    <w:tmpl w:val="6B150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5BCDEF"/>
    <w:multiLevelType w:val="hybridMultilevel"/>
    <w:tmpl w:val="64832F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6449F"/>
    <w:multiLevelType w:val="hybridMultilevel"/>
    <w:tmpl w:val="7ADCD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4195F"/>
    <w:multiLevelType w:val="hybridMultilevel"/>
    <w:tmpl w:val="F8FC7CC0"/>
    <w:lvl w:ilvl="0" w:tplc="C27488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A2115"/>
    <w:multiLevelType w:val="hybridMultilevel"/>
    <w:tmpl w:val="CAE43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5D8"/>
    <w:multiLevelType w:val="hybridMultilevel"/>
    <w:tmpl w:val="C0A63A50"/>
    <w:lvl w:ilvl="0" w:tplc="C27488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06108"/>
    <w:multiLevelType w:val="hybridMultilevel"/>
    <w:tmpl w:val="7084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6EA9"/>
    <w:multiLevelType w:val="hybridMultilevel"/>
    <w:tmpl w:val="F1F9C9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0D7B21"/>
    <w:multiLevelType w:val="hybridMultilevel"/>
    <w:tmpl w:val="F1EE01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56B9"/>
    <w:multiLevelType w:val="hybridMultilevel"/>
    <w:tmpl w:val="673A7E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840C2"/>
    <w:multiLevelType w:val="hybridMultilevel"/>
    <w:tmpl w:val="1AF6A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44087"/>
    <w:multiLevelType w:val="hybridMultilevel"/>
    <w:tmpl w:val="97DE98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A5EDB"/>
    <w:multiLevelType w:val="hybridMultilevel"/>
    <w:tmpl w:val="8FC4E7FC"/>
    <w:lvl w:ilvl="0" w:tplc="D3E815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B39"/>
    <w:multiLevelType w:val="hybridMultilevel"/>
    <w:tmpl w:val="0F8E1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E3B82"/>
    <w:multiLevelType w:val="hybridMultilevel"/>
    <w:tmpl w:val="6EF2C18E"/>
    <w:lvl w:ilvl="0" w:tplc="993AE5F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14524"/>
    <w:multiLevelType w:val="hybridMultilevel"/>
    <w:tmpl w:val="81A4E878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B8811E6"/>
    <w:multiLevelType w:val="hybridMultilevel"/>
    <w:tmpl w:val="B88695FE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09071AC"/>
    <w:multiLevelType w:val="hybridMultilevel"/>
    <w:tmpl w:val="FC050E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15465A4"/>
    <w:multiLevelType w:val="hybridMultilevel"/>
    <w:tmpl w:val="8DB259B0"/>
    <w:lvl w:ilvl="0" w:tplc="C27488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02005"/>
    <w:multiLevelType w:val="hybridMultilevel"/>
    <w:tmpl w:val="4894C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61B6D"/>
    <w:multiLevelType w:val="hybridMultilevel"/>
    <w:tmpl w:val="BA76F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7"/>
  </w:num>
  <w:num w:numId="5">
    <w:abstractNumId w:val="16"/>
  </w:num>
  <w:num w:numId="6">
    <w:abstractNumId w:val="6"/>
  </w:num>
  <w:num w:numId="7">
    <w:abstractNumId w:val="15"/>
  </w:num>
  <w:num w:numId="8">
    <w:abstractNumId w:val="19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8"/>
  </w:num>
  <w:num w:numId="14">
    <w:abstractNumId w:val="3"/>
  </w:num>
  <w:num w:numId="15">
    <w:abstractNumId w:val="20"/>
  </w:num>
  <w:num w:numId="16">
    <w:abstractNumId w:val="10"/>
  </w:num>
  <w:num w:numId="17">
    <w:abstractNumId w:val="11"/>
  </w:num>
  <w:num w:numId="18">
    <w:abstractNumId w:val="12"/>
  </w:num>
  <w:num w:numId="19">
    <w:abstractNumId w:val="14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C5"/>
    <w:rsid w:val="000464D2"/>
    <w:rsid w:val="00061AF5"/>
    <w:rsid w:val="00067C1F"/>
    <w:rsid w:val="000941BF"/>
    <w:rsid w:val="000C03B6"/>
    <w:rsid w:val="000C0BC5"/>
    <w:rsid w:val="0010706E"/>
    <w:rsid w:val="00130DB4"/>
    <w:rsid w:val="00144091"/>
    <w:rsid w:val="00144F1B"/>
    <w:rsid w:val="00187A2B"/>
    <w:rsid w:val="001F31DE"/>
    <w:rsid w:val="0020306C"/>
    <w:rsid w:val="00227D01"/>
    <w:rsid w:val="00227F38"/>
    <w:rsid w:val="00237939"/>
    <w:rsid w:val="00280C29"/>
    <w:rsid w:val="002869B6"/>
    <w:rsid w:val="002A0C7E"/>
    <w:rsid w:val="003146D4"/>
    <w:rsid w:val="003173EA"/>
    <w:rsid w:val="00342889"/>
    <w:rsid w:val="00386A87"/>
    <w:rsid w:val="003A02D1"/>
    <w:rsid w:val="003A38E8"/>
    <w:rsid w:val="003A7B93"/>
    <w:rsid w:val="003C0024"/>
    <w:rsid w:val="003E6313"/>
    <w:rsid w:val="004160BE"/>
    <w:rsid w:val="004832EF"/>
    <w:rsid w:val="00493399"/>
    <w:rsid w:val="004C2E0E"/>
    <w:rsid w:val="004C616C"/>
    <w:rsid w:val="0055194C"/>
    <w:rsid w:val="005A54D9"/>
    <w:rsid w:val="00676B03"/>
    <w:rsid w:val="006930E3"/>
    <w:rsid w:val="007131DE"/>
    <w:rsid w:val="00720C5E"/>
    <w:rsid w:val="00727861"/>
    <w:rsid w:val="0073654C"/>
    <w:rsid w:val="00746DC9"/>
    <w:rsid w:val="00750F05"/>
    <w:rsid w:val="008010BF"/>
    <w:rsid w:val="00813151"/>
    <w:rsid w:val="00824897"/>
    <w:rsid w:val="00871DAE"/>
    <w:rsid w:val="008979CE"/>
    <w:rsid w:val="008A1D7A"/>
    <w:rsid w:val="008D0C6D"/>
    <w:rsid w:val="009131A2"/>
    <w:rsid w:val="00992A94"/>
    <w:rsid w:val="009B336A"/>
    <w:rsid w:val="009B63EE"/>
    <w:rsid w:val="00A0015E"/>
    <w:rsid w:val="00A4650D"/>
    <w:rsid w:val="00A85F5F"/>
    <w:rsid w:val="00AC0AD3"/>
    <w:rsid w:val="00AE71EB"/>
    <w:rsid w:val="00B2089F"/>
    <w:rsid w:val="00B455D2"/>
    <w:rsid w:val="00B4571A"/>
    <w:rsid w:val="00B50719"/>
    <w:rsid w:val="00B7282D"/>
    <w:rsid w:val="00BD21F4"/>
    <w:rsid w:val="00BE6FAC"/>
    <w:rsid w:val="00C163C5"/>
    <w:rsid w:val="00C37771"/>
    <w:rsid w:val="00C510E1"/>
    <w:rsid w:val="00C6034E"/>
    <w:rsid w:val="00C804B2"/>
    <w:rsid w:val="00C8370A"/>
    <w:rsid w:val="00CA4B5D"/>
    <w:rsid w:val="00CB7DE0"/>
    <w:rsid w:val="00CF18B1"/>
    <w:rsid w:val="00D15E82"/>
    <w:rsid w:val="00DA5BC6"/>
    <w:rsid w:val="00DA7A24"/>
    <w:rsid w:val="00DF232E"/>
    <w:rsid w:val="00E06009"/>
    <w:rsid w:val="00E40503"/>
    <w:rsid w:val="00E5201F"/>
    <w:rsid w:val="00E53E9A"/>
    <w:rsid w:val="00EB2BC4"/>
    <w:rsid w:val="00EE0D82"/>
    <w:rsid w:val="00F67721"/>
    <w:rsid w:val="00F968BC"/>
    <w:rsid w:val="00FE13C5"/>
    <w:rsid w:val="00FE2B4B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0A93D"/>
  <w15:docId w15:val="{FAD35106-3E7F-466D-BAEF-C03AD7FD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32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C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0B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0C0BC5"/>
    <w:rPr>
      <w:rFonts w:cs="Calibri"/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DF232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DF232E"/>
    <w:rPr>
      <w:rFonts w:cs="Calibri"/>
      <w:color w:val="000000"/>
      <w:sz w:val="22"/>
      <w:szCs w:val="22"/>
    </w:rPr>
  </w:style>
  <w:style w:type="character" w:customStyle="1" w:styleId="A4">
    <w:name w:val="A4"/>
    <w:uiPriority w:val="99"/>
    <w:rsid w:val="00DF232E"/>
    <w:rPr>
      <w:rFonts w:cs="Calibri"/>
      <w:color w:val="000000"/>
      <w:sz w:val="22"/>
      <w:szCs w:val="22"/>
      <w:u w:val="single"/>
    </w:rPr>
  </w:style>
  <w:style w:type="character" w:customStyle="1" w:styleId="A5">
    <w:name w:val="A5"/>
    <w:uiPriority w:val="99"/>
    <w:rsid w:val="00DF232E"/>
    <w:rPr>
      <w:rFonts w:cs="Calibri"/>
      <w:color w:val="000000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DF232E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B7282D"/>
    <w:pPr>
      <w:ind w:left="720"/>
      <w:contextualSpacing/>
    </w:pPr>
  </w:style>
  <w:style w:type="table" w:styleId="Tabellrutenett">
    <w:name w:val="Table Grid"/>
    <w:basedOn w:val="Vanligtabell"/>
    <w:uiPriority w:val="59"/>
    <w:rsid w:val="005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">
    <w:name w:val="Ref."/>
    <w:rsid w:val="008A1D7A"/>
    <w:pPr>
      <w:spacing w:after="0" w:line="240" w:lineRule="auto"/>
      <w:ind w:left="1077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  <w:style w:type="paragraph" w:customStyle="1" w:styleId="Brevnormal">
    <w:name w:val="Brevnormal"/>
    <w:rsid w:val="008A1D7A"/>
    <w:pPr>
      <w:spacing w:after="0" w:line="240" w:lineRule="auto"/>
      <w:ind w:left="1077" w:right="737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Blankettnormal">
    <w:name w:val="Blankettnormal"/>
    <w:basedOn w:val="Normal"/>
    <w:rsid w:val="00D15E82"/>
    <w:pPr>
      <w:spacing w:after="0" w:line="240" w:lineRule="auto"/>
    </w:pPr>
    <w:rPr>
      <w:rFonts w:ascii="Myriad RH Regular" w:eastAsia="Times New Roman" w:hAnsi="Myriad RH Regular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D15E82"/>
    <w:pPr>
      <w:spacing w:after="0" w:line="240" w:lineRule="auto"/>
    </w:pPr>
  </w:style>
  <w:style w:type="paragraph" w:customStyle="1" w:styleId="Innfylling">
    <w:name w:val="Innfylling"/>
    <w:basedOn w:val="Normal"/>
    <w:rsid w:val="00D1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Fortrykk">
    <w:name w:val="Fortrykk"/>
    <w:basedOn w:val="Normal"/>
    <w:rsid w:val="00D15E82"/>
    <w:pPr>
      <w:spacing w:after="0" w:line="240" w:lineRule="auto"/>
    </w:pPr>
    <w:rPr>
      <w:rFonts w:ascii="MyriaMM_565 SB 600 NO" w:eastAsia="Times New Roman" w:hAnsi="MyriaMM_565 SB 600 NO" w:cs="Times New Roman"/>
      <w:sz w:val="18"/>
      <w:szCs w:val="20"/>
      <w:lang w:eastAsia="nb-NO"/>
    </w:rPr>
  </w:style>
  <w:style w:type="paragraph" w:customStyle="1" w:styleId="Gruppeoverskrift">
    <w:name w:val="Gruppeoverskrift"/>
    <w:rsid w:val="00D15E82"/>
    <w:pPr>
      <w:spacing w:after="0" w:line="240" w:lineRule="auto"/>
    </w:pPr>
    <w:rPr>
      <w:rFonts w:ascii="Myriad RH SemiBold" w:eastAsia="Times New Roman" w:hAnsi="Myriad RH SemiBold" w:cs="Times New Roman"/>
      <w:caps/>
      <w:noProof/>
      <w:sz w:val="18"/>
      <w:szCs w:val="20"/>
      <w:lang w:eastAsia="nb-NO"/>
    </w:rPr>
  </w:style>
  <w:style w:type="character" w:customStyle="1" w:styleId="Hyperkobling1">
    <w:name w:val="Hyperkobling1"/>
    <w:rsid w:val="000464D2"/>
    <w:rPr>
      <w:color w:val="0000FF"/>
      <w:u w:val="single"/>
    </w:rPr>
  </w:style>
  <w:style w:type="paragraph" w:styleId="Sluttnotetekst">
    <w:name w:val="endnote text"/>
    <w:basedOn w:val="Normal"/>
    <w:link w:val="SluttnotetekstTegn"/>
    <w:semiHidden/>
    <w:rsid w:val="000464D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0464D2"/>
    <w:rPr>
      <w:rFonts w:ascii="Times New Roman" w:eastAsia="Times New Roman" w:hAnsi="Times New Roman" w:cs="Times New Roman"/>
      <w:sz w:val="20"/>
      <w:szCs w:val="24"/>
      <w:lang w:eastAsia="nb-NO"/>
    </w:rPr>
  </w:style>
  <w:style w:type="character" w:styleId="Sluttnotereferanse">
    <w:name w:val="endnote reference"/>
    <w:semiHidden/>
    <w:rsid w:val="000464D2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AE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71EB"/>
  </w:style>
  <w:style w:type="paragraph" w:styleId="Bunntekst">
    <w:name w:val="footer"/>
    <w:basedOn w:val="Normal"/>
    <w:link w:val="BunntekstTegn"/>
    <w:uiPriority w:val="99"/>
    <w:unhideWhenUsed/>
    <w:rsid w:val="00AE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71EB"/>
  </w:style>
  <w:style w:type="paragraph" w:customStyle="1" w:styleId="Innfyllingdelvis">
    <w:name w:val="Innfylling delvis"/>
    <w:basedOn w:val="Normal"/>
    <w:rsid w:val="00130DB4"/>
    <w:pPr>
      <w:spacing w:after="0" w:line="240" w:lineRule="auto"/>
    </w:pPr>
    <w:rPr>
      <w:rFonts w:ascii="MyriaMM_400 RG 600 NO" w:eastAsia="Times New Roman" w:hAnsi="MyriaMM_400 RG 600 NO" w:cs="Times New Roman"/>
      <w:sz w:val="20"/>
      <w:szCs w:val="24"/>
      <w:lang w:eastAsia="nb-NO"/>
    </w:rPr>
  </w:style>
  <w:style w:type="paragraph" w:customStyle="1" w:styleId="Dokumentnormal">
    <w:name w:val="Dokumentnormal"/>
    <w:rsid w:val="00130DB4"/>
    <w:pPr>
      <w:spacing w:after="0" w:line="240" w:lineRule="auto"/>
    </w:pPr>
    <w:rPr>
      <w:rFonts w:ascii="Myriad RH Regular" w:eastAsia="Times New Roman" w:hAnsi="Myriad RH Regular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handbok.ous-hf.no/document/440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B098-B493-497E-A6DF-B6E0DF39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Lynn Solberg</dc:creator>
  <cp:lastModifiedBy>Tone Merete Hagedal Wright</cp:lastModifiedBy>
  <cp:revision>3</cp:revision>
  <dcterms:created xsi:type="dcterms:W3CDTF">2024-09-30T13:54:00Z</dcterms:created>
  <dcterms:modified xsi:type="dcterms:W3CDTF">2024-10-10T16:53:00Z</dcterms:modified>
</cp:coreProperties>
</file>