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92" w:rsidRDefault="000414AA">
      <w:r>
        <w:rPr>
          <w:noProof/>
          <w:lang w:eastAsia="nb-NO"/>
        </w:rPr>
        <w:drawing>
          <wp:inline distT="0" distB="0" distL="0" distR="0" wp14:anchorId="0BBBE965" wp14:editId="42F5795E">
            <wp:extent cx="1943735" cy="403860"/>
            <wp:effectExtent l="0" t="0" r="0" b="0"/>
            <wp:docPr id="3" name="Bilde 3"/>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5"/>
                    <a:stretch>
                      <a:fillRect/>
                    </a:stretch>
                  </pic:blipFill>
                  <pic:spPr>
                    <a:xfrm>
                      <a:off x="0" y="0"/>
                      <a:ext cx="1943735" cy="403860"/>
                    </a:xfrm>
                    <a:prstGeom prst="rect">
                      <a:avLst/>
                    </a:prstGeom>
                  </pic:spPr>
                </pic:pic>
              </a:graphicData>
            </a:graphic>
          </wp:inline>
        </w:drawing>
      </w:r>
      <w:r>
        <w:tab/>
      </w:r>
      <w:r>
        <w:tab/>
      </w:r>
      <w:r>
        <w:tab/>
      </w:r>
      <w:r>
        <w:tab/>
      </w:r>
    </w:p>
    <w:p w:rsidR="000414AA" w:rsidRDefault="000414AA">
      <w:pPr>
        <w:rPr>
          <w:b/>
          <w:sz w:val="24"/>
          <w:szCs w:val="24"/>
        </w:rPr>
      </w:pPr>
      <w:bookmarkStart w:id="0" w:name="_GoBack"/>
      <w:bookmarkEnd w:id="0"/>
      <w:r w:rsidRPr="000414AA">
        <w:rPr>
          <w:b/>
          <w:sz w:val="24"/>
          <w:szCs w:val="24"/>
        </w:rPr>
        <w:t xml:space="preserve">Informasjon om assistert befruktning med </w:t>
      </w:r>
      <w:proofErr w:type="spellStart"/>
      <w:r w:rsidRPr="000414AA">
        <w:rPr>
          <w:b/>
          <w:sz w:val="24"/>
          <w:szCs w:val="24"/>
        </w:rPr>
        <w:t>donor</w:t>
      </w:r>
      <w:r>
        <w:rPr>
          <w:b/>
          <w:sz w:val="24"/>
          <w:szCs w:val="24"/>
        </w:rPr>
        <w:t>sæd</w:t>
      </w:r>
      <w:proofErr w:type="spellEnd"/>
      <w:r>
        <w:rPr>
          <w:b/>
          <w:sz w:val="24"/>
          <w:szCs w:val="24"/>
        </w:rPr>
        <w:t>.</w:t>
      </w:r>
    </w:p>
    <w:p w:rsidR="00A94CF7" w:rsidRDefault="000414AA">
      <w:pPr>
        <w:rPr>
          <w:b/>
        </w:rPr>
      </w:pPr>
      <w:r w:rsidRPr="009B51F9">
        <w:t>Etter lovverket kan bare sæd fra identifiserbare givere brukes til assistert befruktning i Norge.</w:t>
      </w:r>
      <w:r w:rsidRPr="009B51F9">
        <w:br/>
      </w:r>
    </w:p>
    <w:p w:rsidR="000414AA" w:rsidRPr="009B51F9" w:rsidRDefault="000414AA">
      <w:pPr>
        <w:rPr>
          <w:b/>
        </w:rPr>
      </w:pPr>
      <w:r w:rsidRPr="009B51F9">
        <w:rPr>
          <w:b/>
        </w:rPr>
        <w:t>Hva betyr det at sædgiver er identifiserbar?</w:t>
      </w:r>
    </w:p>
    <w:p w:rsidR="000414AA" w:rsidRPr="009B51F9" w:rsidRDefault="000414AA">
      <w:r w:rsidRPr="009B51F9">
        <w:t xml:space="preserve">Barn som unnfanges med </w:t>
      </w:r>
      <w:proofErr w:type="spellStart"/>
      <w:r w:rsidRPr="009B51F9">
        <w:t>donorsæd</w:t>
      </w:r>
      <w:proofErr w:type="spellEnd"/>
      <w:r w:rsidRPr="009B51F9">
        <w:t xml:space="preserve"> </w:t>
      </w:r>
      <w:r w:rsidR="00A94CF7">
        <w:t xml:space="preserve">donert etter 01.01.21 </w:t>
      </w:r>
      <w:r w:rsidRPr="009B51F9">
        <w:t>har rett til å få vite identitet til sitt biologiske opphav når det har fylt 15 år. Det er kun barnet som kan få opplyst donors identitet. Etter endring i bioteknologiloven juni 2020 er foreldre pålagt å informere barnet at de er blitt til ved hjelp av sæddonasjon.</w:t>
      </w:r>
    </w:p>
    <w:p w:rsidR="000414AA" w:rsidRDefault="009B51F9">
      <w:r w:rsidRPr="009B51F9">
        <w:t>Donor har ingen økonomisk/ juridiske forpliktelser eller rettigheter overfor barna, og kan heller ikke få opplysninger om barna han har gitt opphav til</w:t>
      </w:r>
      <w:r>
        <w:t>.</w:t>
      </w:r>
    </w:p>
    <w:p w:rsidR="009B51F9" w:rsidRDefault="009B51F9">
      <w:r>
        <w:t xml:space="preserve">Reglene innebærer at donors identitet beskyttes på følgende måte: </w:t>
      </w:r>
      <w:r w:rsidR="004B34B0">
        <w:t xml:space="preserve">Morens og </w:t>
      </w:r>
      <w:r w:rsidR="00A94CF7">
        <w:t>donors identitet</w:t>
      </w:r>
      <w:r w:rsidR="004B34B0">
        <w:t xml:space="preserve"> (navn og personnummer) </w:t>
      </w:r>
      <w:r w:rsidR="00A94CF7">
        <w:t>registreres i</w:t>
      </w:r>
      <w:r w:rsidR="004B34B0">
        <w:t xml:space="preserve"> to særskilte registre: Morens og donors data blir koblet sammen med en kode som hverken </w:t>
      </w:r>
      <w:r w:rsidR="007504EE">
        <w:t>mo</w:t>
      </w:r>
      <w:r w:rsidR="004B34B0">
        <w:t>r eller donor har rett til å vite. Koden gjør det mulig å finne fram til donor etter henvendelse fra barn som har fylt 15 år</w:t>
      </w:r>
      <w:r w:rsidR="007504EE">
        <w:t>.</w:t>
      </w:r>
    </w:p>
    <w:p w:rsidR="007504EE" w:rsidRDefault="007504EE">
      <w:r>
        <w:t xml:space="preserve">Moren må gi samtykke til registrering av sine personopplysninger. Hver donor kan gi opphav til barn i 6 familier, og foreldre må derfor informere </w:t>
      </w:r>
      <w:proofErr w:type="spellStart"/>
      <w:r>
        <w:t>reproduksjonsmedisinsk</w:t>
      </w:r>
      <w:proofErr w:type="spellEnd"/>
      <w:r>
        <w:t xml:space="preserve"> avdeling på Oslo Universitetssykehus om graviditet og fødsel.</w:t>
      </w:r>
    </w:p>
    <w:p w:rsidR="007504EE" w:rsidRDefault="007504EE">
      <w:pPr>
        <w:rPr>
          <w:b/>
        </w:rPr>
      </w:pPr>
      <w:r>
        <w:rPr>
          <w:b/>
        </w:rPr>
        <w:t>Hvem er sædgiver/ donor?</w:t>
      </w:r>
    </w:p>
    <w:p w:rsidR="007504EE" w:rsidRDefault="007504EE">
      <w:r>
        <w:t>Donor er menn mellom 25-45 år bosatt i Norge. Det er ønskelig at de har egne barn- men ikke et krav</w:t>
      </w:r>
      <w:r w:rsidR="00482F82">
        <w:t xml:space="preserve">. </w:t>
      </w:r>
      <w:r>
        <w:t>De må ha god fysisk og psykisk helse, ikke ha kjente alvorlige arvelige sykdommer eller tilstander, og ha en god sædkvalitet som tåler nedfrysing</w:t>
      </w:r>
      <w:r w:rsidR="006C0597">
        <w:t>. Donor testes for å utelukke smittsom sykdom som er overførbar med sædvæske, herunder hepatitt B og C. HIV, HTLV, gonore, syfilis og chlamydia. Donor har samtale med lege, hvor de får informasjon om formelle og praktiske aspekt</w:t>
      </w:r>
      <w:r w:rsidR="00A94CF7">
        <w:t xml:space="preserve">er ved det å være sædgiver, og </w:t>
      </w:r>
      <w:r w:rsidR="006C0597">
        <w:t>deres motivasjon og holdninger blir kartlagt.</w:t>
      </w:r>
    </w:p>
    <w:p w:rsidR="006C0597" w:rsidRDefault="006C0597">
      <w:pPr>
        <w:rPr>
          <w:b/>
        </w:rPr>
      </w:pPr>
      <w:r>
        <w:rPr>
          <w:b/>
        </w:rPr>
        <w:t>Hvordan velges en egnet donor?</w:t>
      </w:r>
    </w:p>
    <w:p w:rsidR="006C0597" w:rsidRDefault="006C0597">
      <w:r>
        <w:t xml:space="preserve">Behandler velger egnet donor ut i fra fysiske karakteristika, herunder øyenfarge, hårfarge, høyde, vekt og etnisitet. Hvis det er et </w:t>
      </w:r>
      <w:proofErr w:type="gramStart"/>
      <w:r>
        <w:t>ulikekjønnet</w:t>
      </w:r>
      <w:proofErr w:type="gramEnd"/>
      <w:r>
        <w:t xml:space="preserve"> par (mann og kvinne) prøver man å matche mannens karakteristika, men </w:t>
      </w:r>
      <w:r w:rsidR="00FB0047">
        <w:t>ettersom det er begrenset variasjon av donorer kan ikke dette alltid påregnes. For likekjønnede og enslige prøver avdelingen også så langt det lar seg gjøre å etterkomme ønsker som fremkommer under utredning før behandling.</w:t>
      </w:r>
    </w:p>
    <w:p w:rsidR="00FB0047" w:rsidRDefault="00FB0047">
      <w:pPr>
        <w:rPr>
          <w:b/>
        </w:rPr>
      </w:pPr>
      <w:r>
        <w:rPr>
          <w:b/>
        </w:rPr>
        <w:t xml:space="preserve">Hva er risiko ved assistert befruktning med </w:t>
      </w:r>
      <w:proofErr w:type="spellStart"/>
      <w:r>
        <w:rPr>
          <w:b/>
        </w:rPr>
        <w:t>donorsæd</w:t>
      </w:r>
      <w:proofErr w:type="spellEnd"/>
      <w:r>
        <w:rPr>
          <w:b/>
        </w:rPr>
        <w:t>?</w:t>
      </w:r>
    </w:p>
    <w:p w:rsidR="00FB0047" w:rsidRDefault="006F6706">
      <w:r>
        <w:t>Til</w:t>
      </w:r>
      <w:r w:rsidR="00FB0047">
        <w:t xml:space="preserve"> tross for at </w:t>
      </w:r>
      <w:r>
        <w:t>donor er gjennom grundig utredning før han blir godkjent, kan behandling med ethvert biologisk materiale fra et annet menneske forårsake kjent eller ennå ukjent smittsom sykdom. Teoretisk sett kan donor bære uoppdagede arvelige sykdommer</w:t>
      </w:r>
      <w:r w:rsidR="00872B43">
        <w:t xml:space="preserve"> eller det kan oppstå spontane </w:t>
      </w:r>
      <w:r w:rsidR="00872B43">
        <w:lastRenderedPageBreak/>
        <w:t>endringer i arvestoffet. Donorer som har gitt opphav til barn med misdannelser utelukkes fra videre sæddonasjon.</w:t>
      </w:r>
    </w:p>
    <w:p w:rsidR="00872B43" w:rsidRDefault="00872B43">
      <w:pPr>
        <w:rPr>
          <w:b/>
        </w:rPr>
      </w:pPr>
      <w:r>
        <w:rPr>
          <w:b/>
        </w:rPr>
        <w:t xml:space="preserve">Reservasjon av </w:t>
      </w:r>
      <w:proofErr w:type="spellStart"/>
      <w:r>
        <w:rPr>
          <w:b/>
        </w:rPr>
        <w:t>donorsæd</w:t>
      </w:r>
      <w:proofErr w:type="spellEnd"/>
      <w:r>
        <w:rPr>
          <w:b/>
        </w:rPr>
        <w:t xml:space="preserve"> for søskenforsøk.</w:t>
      </w:r>
    </w:p>
    <w:p w:rsidR="00872B43" w:rsidRDefault="00872B43">
      <w:r>
        <w:t xml:space="preserve">Såfremt det fremdeles er mer sæd lagret fra donor, kan man få tilbud om søskenforsøk med </w:t>
      </w:r>
      <w:r w:rsidR="00482F82">
        <w:t xml:space="preserve">samme donor. </w:t>
      </w:r>
    </w:p>
    <w:p w:rsidR="00872B43" w:rsidRDefault="00872B43">
      <w:pPr>
        <w:rPr>
          <w:b/>
        </w:rPr>
      </w:pPr>
      <w:r>
        <w:rPr>
          <w:b/>
        </w:rPr>
        <w:t>Videre informasjon.</w:t>
      </w:r>
    </w:p>
    <w:p w:rsidR="00611810" w:rsidRDefault="00611810">
      <w:r>
        <w:t xml:space="preserve">Hjemmeside til avdelingen: </w:t>
      </w:r>
    </w:p>
    <w:p w:rsidR="00872B43" w:rsidRDefault="006B5A76">
      <w:hyperlink r:id="rId6" w:history="1">
        <w:r w:rsidR="00611810" w:rsidRPr="003C7819">
          <w:rPr>
            <w:rStyle w:val="Hyperkobling"/>
          </w:rPr>
          <w:t>https://oslo-universitetssykehus.no/avdelinger/kvinneklinikken/reproduksjonsmedisinsk-avdeling</w:t>
        </w:r>
      </w:hyperlink>
    </w:p>
    <w:p w:rsidR="00611810" w:rsidRDefault="00611810"/>
    <w:p w:rsidR="000414AA" w:rsidRDefault="00611810">
      <w:pPr>
        <w:rPr>
          <w:sz w:val="24"/>
          <w:szCs w:val="24"/>
        </w:rPr>
      </w:pPr>
      <w:r>
        <w:t xml:space="preserve">IVF </w:t>
      </w:r>
      <w:r w:rsidR="00482F82">
        <w:t xml:space="preserve">app. Kan søkes opp i </w:t>
      </w:r>
      <w:proofErr w:type="spellStart"/>
      <w:r w:rsidR="00482F82">
        <w:t>google</w:t>
      </w:r>
      <w:proofErr w:type="spellEnd"/>
      <w:r w:rsidR="00482F82">
        <w:t xml:space="preserve"> play eller </w:t>
      </w:r>
      <w:proofErr w:type="spellStart"/>
      <w:r w:rsidR="00482F82">
        <w:t>appstore</w:t>
      </w:r>
      <w:proofErr w:type="spellEnd"/>
      <w:r w:rsidR="00482F82">
        <w:t>.</w:t>
      </w: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p w:rsidR="000414AA" w:rsidRDefault="000414AA">
      <w:pPr>
        <w:rPr>
          <w:sz w:val="24"/>
          <w:szCs w:val="24"/>
        </w:rPr>
      </w:pPr>
    </w:p>
    <w:tbl>
      <w:tblPr>
        <w:tblW w:w="0" w:type="auto"/>
        <w:tblBorders>
          <w:top w:val="single" w:sz="2" w:space="0" w:color="auto"/>
        </w:tblBorders>
        <w:tblCellMar>
          <w:left w:w="70" w:type="dxa"/>
          <w:right w:w="70" w:type="dxa"/>
        </w:tblCellMar>
        <w:tblLook w:val="04A0" w:firstRow="1" w:lastRow="0" w:firstColumn="1" w:lastColumn="0" w:noHBand="0" w:noVBand="1"/>
      </w:tblPr>
      <w:tblGrid>
        <w:gridCol w:w="5468"/>
        <w:gridCol w:w="2425"/>
        <w:gridCol w:w="647"/>
        <w:gridCol w:w="602"/>
      </w:tblGrid>
      <w:tr w:rsidR="000414AA" w:rsidRPr="006B5A76" w:rsidTr="000414AA">
        <w:trPr>
          <w:trHeight w:hRule="exact" w:val="851"/>
        </w:trPr>
        <w:tc>
          <w:tcPr>
            <w:tcW w:w="5468" w:type="dxa"/>
            <w:tcBorders>
              <w:top w:val="single" w:sz="2" w:space="0" w:color="auto"/>
              <w:left w:val="nil"/>
              <w:bottom w:val="nil"/>
              <w:right w:val="nil"/>
            </w:tcBorders>
            <w:tcMar>
              <w:top w:w="0" w:type="dxa"/>
              <w:left w:w="0" w:type="dxa"/>
              <w:bottom w:w="0" w:type="dxa"/>
              <w:right w:w="0" w:type="dxa"/>
            </w:tcMar>
            <w:hideMark/>
          </w:tcPr>
          <w:p w:rsidR="000414AA" w:rsidRPr="000414AA" w:rsidRDefault="000414AA" w:rsidP="000414AA">
            <w:pPr>
              <w:widowControl w:val="0"/>
              <w:tabs>
                <w:tab w:val="center" w:pos="4536"/>
                <w:tab w:val="right" w:pos="9072"/>
              </w:tabs>
              <w:overflowPunct w:val="0"/>
              <w:autoSpaceDE w:val="0"/>
              <w:autoSpaceDN w:val="0"/>
              <w:adjustRightInd w:val="0"/>
              <w:spacing w:after="0" w:line="240" w:lineRule="auto"/>
              <w:rPr>
                <w:rFonts w:ascii="Cambria" w:eastAsia="Times New Roman" w:hAnsi="Cambria" w:cs="Times New Roman"/>
                <w:sz w:val="26"/>
                <w:szCs w:val="26"/>
                <w:lang w:eastAsia="nb-NO"/>
              </w:rPr>
            </w:pPr>
            <w:r w:rsidRPr="000414AA">
              <w:rPr>
                <w:rFonts w:ascii="Calibri" w:eastAsia="Times New Roman" w:hAnsi="Calibri" w:cs="Calibri"/>
                <w:sz w:val="16"/>
                <w:szCs w:val="16"/>
                <w:lang w:eastAsia="nb-NO"/>
              </w:rPr>
              <w:t xml:space="preserve">Oslo </w:t>
            </w:r>
            <w:r w:rsidRPr="000414AA">
              <w:rPr>
                <w:rFonts w:ascii="Cambria" w:eastAsia="Times New Roman" w:hAnsi="Cambria" w:cs="Times New Roman"/>
                <w:noProof/>
                <w:sz w:val="24"/>
                <w:szCs w:val="20"/>
                <w:lang w:eastAsia="nb-NO"/>
              </w:rPr>
              <mc:AlternateContent>
                <mc:Choice Requires="wps">
                  <w:drawing>
                    <wp:anchor distT="0" distB="0" distL="114300" distR="114300" simplePos="0" relativeHeight="251659264" behindDoc="0" locked="0" layoutInCell="1" allowOverlap="1" wp14:anchorId="43E55B3D" wp14:editId="50EA08CD">
                      <wp:simplePos x="0" y="0"/>
                      <wp:positionH relativeFrom="page">
                        <wp:posOffset>3758565</wp:posOffset>
                      </wp:positionH>
                      <wp:positionV relativeFrom="page">
                        <wp:posOffset>53975</wp:posOffset>
                      </wp:positionV>
                      <wp:extent cx="0" cy="392430"/>
                      <wp:effectExtent l="0" t="0" r="19050" b="2667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95pt,4.25pt" to="295.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" strokecolor="#4a7ebb" strokeweight=".25pt">
                      <v:shadow opacity="22938f" offset="0"/>
                      <w10:wrap anchorx="page" anchory="page"/>
                    </v:line>
                  </w:pict>
                </mc:Fallback>
              </mc:AlternateContent>
            </w:r>
          </w:p>
          <w:p w:rsidR="000414AA" w:rsidRPr="000414AA" w:rsidRDefault="000414AA" w:rsidP="000414AA">
            <w:pPr>
              <w:widowControl w:val="0"/>
              <w:tabs>
                <w:tab w:val="center" w:pos="4536"/>
                <w:tab w:val="right" w:pos="9072"/>
              </w:tabs>
              <w:overflowPunct w:val="0"/>
              <w:autoSpaceDE w:val="0"/>
              <w:autoSpaceDN w:val="0"/>
              <w:adjustRightInd w:val="0"/>
              <w:spacing w:after="0" w:line="240" w:lineRule="auto"/>
              <w:rPr>
                <w:rFonts w:ascii="Cambria" w:eastAsia="Times New Roman" w:hAnsi="Cambria" w:cs="Times New Roman"/>
                <w:sz w:val="20"/>
                <w:szCs w:val="20"/>
                <w:lang w:eastAsia="nb-NO"/>
              </w:rPr>
            </w:pPr>
            <w:bookmarkStart w:id="1" w:name="bkTekst"/>
            <w:bookmarkEnd w:id="1"/>
            <w:r w:rsidRPr="000414AA">
              <w:rPr>
                <w:rFonts w:ascii="Calibri" w:eastAsia="Times New Roman" w:hAnsi="Calibri" w:cs="Calibri"/>
                <w:sz w:val="16"/>
                <w:szCs w:val="16"/>
                <w:lang w:eastAsia="nb-NO"/>
              </w:rPr>
              <w:t>universitetssykehus er lokalsykehus for deler av Oslos befolkning, regionssykehus for innbyggere i Helse Sør-Øst og har en rekke nasjonale funksjoner.</w:t>
            </w:r>
          </w:p>
        </w:tc>
        <w:tc>
          <w:tcPr>
            <w:tcW w:w="2425" w:type="dxa"/>
            <w:tcBorders>
              <w:top w:val="single" w:sz="2" w:space="0" w:color="auto"/>
              <w:left w:val="nil"/>
              <w:bottom w:val="nil"/>
              <w:right w:val="nil"/>
            </w:tcBorders>
            <w:tcMar>
              <w:top w:w="0" w:type="dxa"/>
              <w:left w:w="125" w:type="dxa"/>
              <w:bottom w:w="0" w:type="dxa"/>
              <w:right w:w="70" w:type="dxa"/>
            </w:tcMar>
          </w:tcPr>
          <w:p w:rsidR="000414AA" w:rsidRPr="000414AA" w:rsidRDefault="000414AA" w:rsidP="000414AA">
            <w:pPr>
              <w:widowControl w:val="0"/>
              <w:tabs>
                <w:tab w:val="center" w:pos="4536"/>
                <w:tab w:val="right" w:pos="9072"/>
              </w:tabs>
              <w:overflowPunct w:val="0"/>
              <w:autoSpaceDE w:val="0"/>
              <w:autoSpaceDN w:val="0"/>
              <w:adjustRightInd w:val="0"/>
              <w:spacing w:after="0" w:line="240" w:lineRule="auto"/>
              <w:rPr>
                <w:rFonts w:ascii="Cambria" w:eastAsia="Times New Roman" w:hAnsi="Cambria" w:cs="Times New Roman"/>
                <w:sz w:val="26"/>
                <w:szCs w:val="26"/>
                <w:lang w:eastAsia="nb-NO"/>
              </w:rPr>
            </w:pPr>
          </w:p>
          <w:p w:rsidR="000414AA" w:rsidRPr="000414AA" w:rsidRDefault="000414AA" w:rsidP="000414AA">
            <w:pPr>
              <w:widowControl w:val="0"/>
              <w:autoSpaceDE w:val="0"/>
              <w:autoSpaceDN w:val="0"/>
              <w:adjustRightInd w:val="0"/>
              <w:spacing w:after="0" w:line="240" w:lineRule="auto"/>
              <w:rPr>
                <w:rFonts w:ascii="Calibri" w:eastAsia="Cambria" w:hAnsi="Calibri" w:cs="Calibri"/>
                <w:color w:val="000000"/>
                <w:sz w:val="16"/>
                <w:szCs w:val="16"/>
                <w:lang w:val="en-GB"/>
              </w:rPr>
            </w:pPr>
            <w:bookmarkStart w:id="2" w:name="bkOrg"/>
            <w:bookmarkEnd w:id="2"/>
            <w:r w:rsidRPr="000414AA">
              <w:rPr>
                <w:rFonts w:ascii="Calibri" w:eastAsia="Cambria" w:hAnsi="Calibri" w:cs="Calibri"/>
                <w:color w:val="000000"/>
                <w:sz w:val="16"/>
                <w:szCs w:val="16"/>
                <w:lang w:val="en-GB"/>
              </w:rPr>
              <w:t>Org.nr.: NO 993 467 049 MVA</w:t>
            </w:r>
          </w:p>
          <w:p w:rsidR="000414AA" w:rsidRPr="000414AA" w:rsidRDefault="000414AA" w:rsidP="000414AA">
            <w:pPr>
              <w:widowControl w:val="0"/>
              <w:tabs>
                <w:tab w:val="center" w:pos="4536"/>
                <w:tab w:val="right" w:pos="9072"/>
              </w:tabs>
              <w:overflowPunct w:val="0"/>
              <w:autoSpaceDE w:val="0"/>
              <w:autoSpaceDN w:val="0"/>
              <w:adjustRightInd w:val="0"/>
              <w:spacing w:after="0" w:line="240" w:lineRule="auto"/>
              <w:rPr>
                <w:rFonts w:ascii="Cambria" w:eastAsia="Times New Roman" w:hAnsi="Cambria" w:cs="Times New Roman"/>
                <w:sz w:val="20"/>
                <w:szCs w:val="20"/>
                <w:lang w:val="en-GB" w:eastAsia="nb-NO"/>
              </w:rPr>
            </w:pPr>
            <w:r w:rsidRPr="000414AA">
              <w:rPr>
                <w:rFonts w:ascii="Calibri" w:eastAsia="Times New Roman" w:hAnsi="Calibri" w:cs="Calibri"/>
                <w:sz w:val="16"/>
                <w:szCs w:val="16"/>
                <w:lang w:val="en-GB" w:eastAsia="nb-NO"/>
              </w:rPr>
              <w:t>www.oslo-universitetssykehus.no</w:t>
            </w:r>
          </w:p>
        </w:tc>
        <w:tc>
          <w:tcPr>
            <w:tcW w:w="647" w:type="dxa"/>
            <w:tcBorders>
              <w:top w:val="single" w:sz="2" w:space="0" w:color="auto"/>
              <w:left w:val="nil"/>
              <w:bottom w:val="nil"/>
              <w:right w:val="nil"/>
            </w:tcBorders>
          </w:tcPr>
          <w:p w:rsidR="000414AA" w:rsidRPr="000414AA" w:rsidRDefault="000414AA" w:rsidP="000414AA">
            <w:pPr>
              <w:widowControl w:val="0"/>
              <w:tabs>
                <w:tab w:val="center" w:pos="4536"/>
                <w:tab w:val="right" w:pos="9072"/>
              </w:tabs>
              <w:overflowPunct w:val="0"/>
              <w:autoSpaceDE w:val="0"/>
              <w:autoSpaceDN w:val="0"/>
              <w:adjustRightInd w:val="0"/>
              <w:spacing w:after="0" w:line="240" w:lineRule="auto"/>
              <w:rPr>
                <w:rFonts w:ascii="Cambria" w:eastAsia="Times New Roman" w:hAnsi="Cambria" w:cs="Times New Roman"/>
                <w:sz w:val="20"/>
                <w:szCs w:val="20"/>
                <w:lang w:val="en-GB" w:eastAsia="nb-NO"/>
              </w:rPr>
            </w:pPr>
          </w:p>
        </w:tc>
        <w:tc>
          <w:tcPr>
            <w:tcW w:w="602" w:type="dxa"/>
            <w:tcBorders>
              <w:top w:val="single" w:sz="2" w:space="0" w:color="auto"/>
              <w:left w:val="nil"/>
              <w:bottom w:val="nil"/>
              <w:right w:val="nil"/>
            </w:tcBorders>
            <w:hideMark/>
          </w:tcPr>
          <w:p w:rsidR="000414AA" w:rsidRPr="000414AA" w:rsidRDefault="000414AA" w:rsidP="000414AA">
            <w:pPr>
              <w:widowControl w:val="0"/>
              <w:tabs>
                <w:tab w:val="center" w:pos="4536"/>
                <w:tab w:val="right" w:pos="9072"/>
              </w:tabs>
              <w:overflowPunct w:val="0"/>
              <w:autoSpaceDE w:val="0"/>
              <w:autoSpaceDN w:val="0"/>
              <w:adjustRightInd w:val="0"/>
              <w:spacing w:after="0" w:line="240" w:lineRule="auto"/>
              <w:rPr>
                <w:rFonts w:ascii="Cambria" w:eastAsia="Times New Roman" w:hAnsi="Cambria" w:cs="Times New Roman"/>
                <w:sz w:val="20"/>
                <w:szCs w:val="20"/>
                <w:lang w:val="en-GB" w:eastAsia="nb-NO"/>
              </w:rPr>
            </w:pPr>
            <w:r w:rsidRPr="000414AA">
              <w:rPr>
                <w:rFonts w:ascii="Cambria" w:eastAsia="Times New Roman" w:hAnsi="Cambria" w:cs="Times New Roman"/>
                <w:noProof/>
                <w:sz w:val="24"/>
                <w:szCs w:val="20"/>
                <w:lang w:eastAsia="nb-NO"/>
              </w:rPr>
              <w:drawing>
                <wp:anchor distT="0" distB="0" distL="114300" distR="114300" simplePos="0" relativeHeight="251660288" behindDoc="0" locked="0" layoutInCell="1" allowOverlap="1" wp14:anchorId="3D6091EA" wp14:editId="3CCA97FF">
                  <wp:simplePos x="0" y="0"/>
                  <wp:positionH relativeFrom="column">
                    <wp:posOffset>69215</wp:posOffset>
                  </wp:positionH>
                  <wp:positionV relativeFrom="paragraph">
                    <wp:posOffset>107950</wp:posOffset>
                  </wp:positionV>
                  <wp:extent cx="277495" cy="277495"/>
                  <wp:effectExtent l="0" t="0" r="8255" b="8255"/>
                  <wp:wrapNone/>
                  <wp:docPr id="1" name="Bilde 1" descr="Bilder\H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ilder\HS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pic:spPr>
                      </pic:pic>
                    </a:graphicData>
                  </a:graphic>
                  <wp14:sizeRelH relativeFrom="page">
                    <wp14:pctWidth>0</wp14:pctWidth>
                  </wp14:sizeRelH>
                  <wp14:sizeRelV relativeFrom="page">
                    <wp14:pctHeight>0</wp14:pctHeight>
                  </wp14:sizeRelV>
                </wp:anchor>
              </w:drawing>
            </w:r>
          </w:p>
        </w:tc>
      </w:tr>
    </w:tbl>
    <w:p w:rsidR="000414AA" w:rsidRPr="000414AA" w:rsidRDefault="000414AA">
      <w:pPr>
        <w:rPr>
          <w:sz w:val="24"/>
          <w:szCs w:val="24"/>
          <w:lang w:val="en-GB"/>
        </w:rPr>
      </w:pPr>
    </w:p>
    <w:p w:rsidR="000414AA" w:rsidRPr="000414AA" w:rsidRDefault="000414AA">
      <w:pPr>
        <w:rPr>
          <w:sz w:val="24"/>
          <w:szCs w:val="24"/>
          <w:lang w:val="en-GB"/>
        </w:rPr>
      </w:pPr>
    </w:p>
    <w:sectPr w:rsidR="000414AA" w:rsidRPr="00041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AA"/>
    <w:rsid w:val="000414AA"/>
    <w:rsid w:val="0009075F"/>
    <w:rsid w:val="00357A98"/>
    <w:rsid w:val="004674D0"/>
    <w:rsid w:val="00482F82"/>
    <w:rsid w:val="004B34B0"/>
    <w:rsid w:val="00611810"/>
    <w:rsid w:val="006B5A76"/>
    <w:rsid w:val="006C0597"/>
    <w:rsid w:val="006F6706"/>
    <w:rsid w:val="007504EE"/>
    <w:rsid w:val="00872B43"/>
    <w:rsid w:val="009B51F9"/>
    <w:rsid w:val="00A94CF7"/>
    <w:rsid w:val="00AA5C76"/>
    <w:rsid w:val="00AE7192"/>
    <w:rsid w:val="00FB00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414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14AA"/>
    <w:rPr>
      <w:rFonts w:ascii="Tahoma" w:hAnsi="Tahoma" w:cs="Tahoma"/>
      <w:sz w:val="16"/>
      <w:szCs w:val="16"/>
    </w:rPr>
  </w:style>
  <w:style w:type="character" w:styleId="Hyperkobling">
    <w:name w:val="Hyperlink"/>
    <w:basedOn w:val="Standardskriftforavsnitt"/>
    <w:uiPriority w:val="99"/>
    <w:unhideWhenUsed/>
    <w:rsid w:val="00611810"/>
    <w:rPr>
      <w:color w:val="0000FF" w:themeColor="hyperlink"/>
      <w:u w:val="single"/>
    </w:rPr>
  </w:style>
  <w:style w:type="table" w:styleId="Tabellrutenett">
    <w:name w:val="Table Grid"/>
    <w:basedOn w:val="Vanligtabell"/>
    <w:uiPriority w:val="59"/>
    <w:rsid w:val="00357A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414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14AA"/>
    <w:rPr>
      <w:rFonts w:ascii="Tahoma" w:hAnsi="Tahoma" w:cs="Tahoma"/>
      <w:sz w:val="16"/>
      <w:szCs w:val="16"/>
    </w:rPr>
  </w:style>
  <w:style w:type="character" w:styleId="Hyperkobling">
    <w:name w:val="Hyperlink"/>
    <w:basedOn w:val="Standardskriftforavsnitt"/>
    <w:uiPriority w:val="99"/>
    <w:unhideWhenUsed/>
    <w:rsid w:val="00611810"/>
    <w:rPr>
      <w:color w:val="0000FF" w:themeColor="hyperlink"/>
      <w:u w:val="single"/>
    </w:rPr>
  </w:style>
  <w:style w:type="table" w:styleId="Tabellrutenett">
    <w:name w:val="Table Grid"/>
    <w:basedOn w:val="Vanligtabell"/>
    <w:uiPriority w:val="59"/>
    <w:rsid w:val="00357A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36113">
      <w:bodyDiv w:val="1"/>
      <w:marLeft w:val="0"/>
      <w:marRight w:val="0"/>
      <w:marTop w:val="0"/>
      <w:marBottom w:val="0"/>
      <w:divBdr>
        <w:top w:val="none" w:sz="0" w:space="0" w:color="auto"/>
        <w:left w:val="none" w:sz="0" w:space="0" w:color="auto"/>
        <w:bottom w:val="none" w:sz="0" w:space="0" w:color="auto"/>
        <w:right w:val="none" w:sz="0" w:space="0" w:color="auto"/>
      </w:divBdr>
    </w:div>
    <w:div w:id="10802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slo-universitetssykehus.no/avdelinger/kvinneklinikken/reproduksjonsmedisinsk-avdelin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794AE36B</Template>
  <TotalTime>0</TotalTime>
  <Pages>2</Pages>
  <Words>546</Words>
  <Characters>2895</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Gunnhild Bøyum</dc:creator>
  <cp:lastModifiedBy>Gunnhild Bøyum</cp:lastModifiedBy>
  <cp:revision>2</cp:revision>
  <dcterms:created xsi:type="dcterms:W3CDTF">2021-01-14T13:04:00Z</dcterms:created>
  <dcterms:modified xsi:type="dcterms:W3CDTF">2021-01-14T13:04:00Z</dcterms:modified>
</cp:coreProperties>
</file>