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382" w:rsidRPr="009446DE" w:rsidRDefault="009446DE">
      <w:pPr>
        <w:rPr>
          <w:b/>
          <w:sz w:val="32"/>
          <w:szCs w:val="28"/>
        </w:rPr>
      </w:pPr>
      <w:r>
        <w:rPr>
          <w:b/>
          <w:sz w:val="32"/>
          <w:szCs w:val="28"/>
        </w:rPr>
        <w:br/>
      </w:r>
      <w:bookmarkStart w:id="0" w:name="_GoBack"/>
      <w:bookmarkEnd w:id="0"/>
      <w:r w:rsidR="00B25180" w:rsidRPr="009446DE">
        <w:rPr>
          <w:b/>
          <w:sz w:val="32"/>
          <w:szCs w:val="28"/>
        </w:rPr>
        <w:t>Prinsipper for saksbehandling ved håndtering av personalsaker</w:t>
      </w:r>
    </w:p>
    <w:p w:rsidR="00B25180" w:rsidRDefault="00B25180"/>
    <w:p w:rsidR="00B25180" w:rsidRPr="007973BA" w:rsidRDefault="00B25180" w:rsidP="00B25180">
      <w:pPr>
        <w:rPr>
          <w:b/>
          <w:i/>
        </w:rPr>
      </w:pPr>
      <w:r w:rsidRPr="007973BA">
        <w:rPr>
          <w:b/>
          <w:i/>
          <w:u w:val="single"/>
        </w:rPr>
        <w:t>Habilitet</w:t>
      </w:r>
    </w:p>
    <w:p w:rsidR="00B25180" w:rsidRDefault="00B25180" w:rsidP="00B25180">
      <w:r>
        <w:t xml:space="preserve">Leder og HR må vurdere sin habilitet i saken for at tillit til hvordan saken håndteres og til resultatet ikke skal svekkes. </w:t>
      </w:r>
    </w:p>
    <w:p w:rsidR="00B25180" w:rsidRDefault="00B25180" w:rsidP="00B25180">
      <w:r w:rsidRPr="003B0CF4">
        <w:t>Den som skal håndtere en personalsak</w:t>
      </w:r>
      <w:r>
        <w:t>,</w:t>
      </w:r>
      <w:r w:rsidRPr="003B0CF4">
        <w:t xml:space="preserve"> kan ikke selv være part i saken, </w:t>
      </w:r>
      <w:r>
        <w:t xml:space="preserve">ha personlige interesser i saken </w:t>
      </w:r>
      <w:r w:rsidRPr="003B0CF4">
        <w:t xml:space="preserve">eller på annen måte være involvert i den. </w:t>
      </w:r>
      <w:r>
        <w:t>Begrunnelsen</w:t>
      </w:r>
      <w:r w:rsidRPr="003B0CF4">
        <w:t xml:space="preserve"> er at det vil svekke tilliten til hvordan saken håndteres og </w:t>
      </w:r>
      <w:r>
        <w:t xml:space="preserve">til </w:t>
      </w:r>
      <w:r w:rsidRPr="003B0CF4">
        <w:t xml:space="preserve">resultatet av saken. </w:t>
      </w:r>
      <w:r>
        <w:t xml:space="preserve">Saksbehandler </w:t>
      </w:r>
      <w:r w:rsidRPr="003B0CF4">
        <w:t xml:space="preserve">må </w:t>
      </w:r>
      <w:r>
        <w:t xml:space="preserve">derfor </w:t>
      </w:r>
      <w:r w:rsidRPr="003B0CF4">
        <w:t xml:space="preserve">vurdere sin habilitet i </w:t>
      </w:r>
      <w:r>
        <w:t>samsvar</w:t>
      </w:r>
      <w:r w:rsidRPr="003B0CF4">
        <w:t xml:space="preserve"> med </w:t>
      </w:r>
      <w:hyperlink r:id="rId6" w:tgtFrame="_blank" w:history="1">
        <w:r w:rsidRPr="00EA3B80">
          <w:rPr>
            <w:rStyle w:val="Hyperkobling"/>
          </w:rPr>
          <w:t>forvaltningsloven § 6</w:t>
        </w:r>
      </w:hyperlink>
      <w:r w:rsidRPr="00EA3B80">
        <w:rPr>
          <w:rStyle w:val="Hyperkobling"/>
        </w:rPr>
        <w:t>.</w:t>
      </w:r>
      <w:r w:rsidRPr="008F784E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> </w:t>
      </w:r>
      <w:r w:rsidRPr="003B0CF4">
        <w:t>Dersom leder er usikker og trenger veiledning for å vurdere dette, ta kontakt med HR i klinikk.</w:t>
      </w:r>
    </w:p>
    <w:p w:rsidR="00CF0447" w:rsidRDefault="00CF0447" w:rsidP="00B25180">
      <w:r>
        <w:t>Dersom en leder er part i saken eller på andre måter inhabil, vil normalt leder over håndtere saken. I de tilfeller der leder er inhabil, vil de ansatte hos samme leder være inhabile.</w:t>
      </w:r>
    </w:p>
    <w:p w:rsidR="00CF0447" w:rsidRPr="003B0CF4" w:rsidRDefault="00CF0447" w:rsidP="00B25180"/>
    <w:p w:rsidR="00B25180" w:rsidRPr="007973BA" w:rsidRDefault="00B25180" w:rsidP="00B25180">
      <w:pPr>
        <w:rPr>
          <w:b/>
          <w:i/>
        </w:rPr>
      </w:pPr>
      <w:r w:rsidRPr="007973BA">
        <w:rPr>
          <w:b/>
          <w:i/>
          <w:u w:val="single"/>
        </w:rPr>
        <w:t>Konfidensialitet</w:t>
      </w:r>
    </w:p>
    <w:p w:rsidR="00B25180" w:rsidRDefault="00B25180" w:rsidP="00B25180">
      <w:pPr>
        <w:shd w:val="clear" w:color="auto" w:fill="FEFEFE"/>
        <w:spacing w:before="210" w:after="210" w:line="240" w:lineRule="auto"/>
        <w:ind w:right="210"/>
      </w:pPr>
      <w:r w:rsidRPr="00E17530">
        <w:rPr>
          <w:b/>
        </w:rPr>
        <w:t>Arbeidsgiver</w:t>
      </w:r>
      <w:r w:rsidRPr="003B0CF4">
        <w:t xml:space="preserve"> og arbeidsgivers representanter har taushetsplikt vedrørende den enkelte arbeidstakers personlige forhold</w:t>
      </w:r>
      <w:r>
        <w:t>.</w:t>
      </w:r>
      <w:r w:rsidR="00431363">
        <w:t xml:space="preserve"> </w:t>
      </w:r>
      <w:r>
        <w:t>Taushetsplikten følger av</w:t>
      </w:r>
      <w:r w:rsidRPr="003B0CF4">
        <w:t xml:space="preserve"> </w:t>
      </w:r>
      <w:hyperlink r:id="rId7" w:history="1">
        <w:proofErr w:type="spellStart"/>
        <w:r w:rsidRPr="00313B92">
          <w:rPr>
            <w:rStyle w:val="Hyperkobling"/>
          </w:rPr>
          <w:t>offentleglova</w:t>
        </w:r>
        <w:proofErr w:type="spellEnd"/>
        <w:r w:rsidRPr="00313B92">
          <w:rPr>
            <w:rStyle w:val="Hyperkobling"/>
          </w:rPr>
          <w:t xml:space="preserve"> § 13</w:t>
        </w:r>
      </w:hyperlink>
      <w:r>
        <w:rPr>
          <w:rStyle w:val="Hyperkobling"/>
        </w:rPr>
        <w:t>,</w:t>
      </w:r>
      <w:r w:rsidRPr="003B0CF4">
        <w:t xml:space="preserve"> jf. </w:t>
      </w:r>
      <w:hyperlink r:id="rId8" w:history="1">
        <w:r w:rsidRPr="00313B92">
          <w:rPr>
            <w:rStyle w:val="Hyperkobling"/>
          </w:rPr>
          <w:t>forvaltningsloven § 13</w:t>
        </w:r>
      </w:hyperlink>
      <w:r w:rsidR="00355102">
        <w:rPr>
          <w:rStyle w:val="Hyperkobling"/>
        </w:rPr>
        <w:t xml:space="preserve"> (1)</w:t>
      </w:r>
      <w:r w:rsidRPr="003B0CF4">
        <w:t xml:space="preserve">. </w:t>
      </w:r>
      <w:r>
        <w:t>A</w:t>
      </w:r>
      <w:r w:rsidRPr="003B0CF4">
        <w:t>rbeidsgiver</w:t>
      </w:r>
      <w:r>
        <w:t xml:space="preserve"> skal</w:t>
      </w:r>
      <w:r w:rsidRPr="003B0CF4">
        <w:t xml:space="preserve"> ikke diskutere konkrete personalsaker eller personer med tillitsvalgte som ikke er involvert i saken</w:t>
      </w:r>
      <w:r>
        <w:t>,</w:t>
      </w:r>
      <w:r w:rsidRPr="003B0CF4">
        <w:t xml:space="preserve"> på vegne av arbeidstaker. Arbeidsgiver har ikke taushetsplikt overfor arbeidsgiver i linjen på nivå over</w:t>
      </w:r>
      <w:r>
        <w:t>, HR i k</w:t>
      </w:r>
      <w:r w:rsidRPr="003B0CF4">
        <w:t>linikk eller HR-</w:t>
      </w:r>
      <w:r w:rsidR="006D319B">
        <w:t>avdelingen, DST</w:t>
      </w:r>
      <w:r w:rsidRPr="003B0CF4">
        <w:t>.</w:t>
      </w:r>
    </w:p>
    <w:p w:rsidR="00431363" w:rsidRPr="00E17530" w:rsidRDefault="00676FDA" w:rsidP="00B25180">
      <w:pPr>
        <w:shd w:val="clear" w:color="auto" w:fill="FEFEFE"/>
        <w:spacing w:before="210" w:after="210" w:line="240" w:lineRule="auto"/>
        <w:ind w:right="210"/>
        <w:rPr>
          <w:color w:val="FF0000"/>
        </w:rPr>
      </w:pPr>
      <w:r w:rsidRPr="00E17530">
        <w:rPr>
          <w:b/>
        </w:rPr>
        <w:t>Arbeidstaker</w:t>
      </w:r>
      <w:r w:rsidRPr="003B0CF4">
        <w:t xml:space="preserve"> </w:t>
      </w:r>
      <w:r w:rsidR="00E17530" w:rsidRPr="00281F91">
        <w:t xml:space="preserve">har ytringsfrihet og </w:t>
      </w:r>
      <w:r w:rsidR="00F41D67" w:rsidRPr="00281F91">
        <w:t xml:space="preserve">kan selv </w:t>
      </w:r>
      <w:r w:rsidRPr="00281F91">
        <w:t>velge hvem det er ønskelig å involvere i sin sak.</w:t>
      </w:r>
      <w:r w:rsidR="00E17530" w:rsidRPr="00281F91">
        <w:t xml:space="preserve"> Mange saker </w:t>
      </w:r>
      <w:r w:rsidR="00CE5E16" w:rsidRPr="00281F91">
        <w:t>berører</w:t>
      </w:r>
      <w:r w:rsidR="000B2F1E" w:rsidRPr="00281F91">
        <w:t xml:space="preserve"> </w:t>
      </w:r>
      <w:r w:rsidR="00E17530" w:rsidRPr="00281F91">
        <w:t xml:space="preserve">også andre ansatte, og </w:t>
      </w:r>
      <w:r w:rsidR="00DA0E8A" w:rsidRPr="00281F91">
        <w:t>overfor dem</w:t>
      </w:r>
      <w:r w:rsidR="00CE5E16" w:rsidRPr="00281F91">
        <w:t xml:space="preserve"> er arbeidstaker underlagt taushetsplikt</w:t>
      </w:r>
      <w:r w:rsidR="00E17530" w:rsidRPr="00281F91">
        <w:t>. Arbeidstaker har videre en lojalitetsplikt</w:t>
      </w:r>
      <w:r w:rsidR="000B2F1E" w:rsidRPr="00281F91">
        <w:t xml:space="preserve"> overfor arbeidsgiver</w:t>
      </w:r>
      <w:r w:rsidR="00E17530" w:rsidRPr="00281F91">
        <w:t xml:space="preserve"> som innebærer at de </w:t>
      </w:r>
      <w:r w:rsidR="00CE5E16" w:rsidRPr="00281F91">
        <w:t xml:space="preserve">skal unngå å uttale seg på en måte </w:t>
      </w:r>
      <w:r w:rsidR="000B2F1E" w:rsidRPr="00281F91">
        <w:t xml:space="preserve">som </w:t>
      </w:r>
      <w:r w:rsidR="00E17530" w:rsidRPr="00281F91">
        <w:t xml:space="preserve">kan skade arbeidsgiver og arbeidsmiljøet. </w:t>
      </w:r>
    </w:p>
    <w:p w:rsidR="00281F91" w:rsidRDefault="00281F91" w:rsidP="00B25180">
      <w:pPr>
        <w:rPr>
          <w:b/>
          <w:i/>
          <w:u w:val="single"/>
        </w:rPr>
      </w:pPr>
    </w:p>
    <w:p w:rsidR="00B25180" w:rsidRPr="007973BA" w:rsidRDefault="00B25180" w:rsidP="00B25180">
      <w:pPr>
        <w:rPr>
          <w:b/>
          <w:i/>
        </w:rPr>
      </w:pPr>
      <w:r w:rsidRPr="007973BA">
        <w:rPr>
          <w:b/>
          <w:i/>
          <w:u w:val="single"/>
        </w:rPr>
        <w:t>Kontradiksjon</w:t>
      </w:r>
    </w:p>
    <w:p w:rsidR="00636620" w:rsidRPr="003B0CF4" w:rsidRDefault="00636620" w:rsidP="00636620">
      <w:pPr>
        <w:shd w:val="clear" w:color="auto" w:fill="FEFEFE"/>
        <w:spacing w:before="210" w:after="210" w:line="240" w:lineRule="auto"/>
        <w:ind w:right="210"/>
      </w:pPr>
      <w:r w:rsidRPr="00742568">
        <w:t>Kontradiksjon er retten til å gjøre seg kjent med beskyldninger rettet mot seg og å få gi sin uttalelse eller versjon før det fattes en konklusjon i saken. Dette kan ofte innebære at personer som fremsetter påstander må navngis med mindre hendelser beskrives så konkret og tydelig at den involverte ikke er i tvil om hvilken hendelse det gjelder.</w:t>
      </w:r>
    </w:p>
    <w:p w:rsidR="00B25180" w:rsidRDefault="00B25180" w:rsidP="00B25180">
      <w:pPr>
        <w:shd w:val="clear" w:color="auto" w:fill="FEFEFE"/>
        <w:spacing w:before="210" w:after="210" w:line="240" w:lineRule="auto"/>
        <w:ind w:right="210"/>
      </w:pPr>
      <w:r w:rsidRPr="00AA24B4">
        <w:t xml:space="preserve">Formålet </w:t>
      </w:r>
      <w:r>
        <w:t xml:space="preserve">med kontradiksjon </w:t>
      </w:r>
      <w:r w:rsidRPr="00AA24B4">
        <w:t xml:space="preserve">er å få alle sider av saken tilstrekkelig opplyst og at alle parter blir hørt. Dette bidrar til å sikre riktige avgjørelser </w:t>
      </w:r>
      <w:r>
        <w:t>som</w:t>
      </w:r>
      <w:r w:rsidRPr="00AA24B4">
        <w:t xml:space="preserve"> fattes på et tilstrekkelig fundert grunnlag. </w:t>
      </w:r>
      <w:r>
        <w:t>M</w:t>
      </w:r>
      <w:r w:rsidRPr="00AA24B4">
        <w:t xml:space="preserve">anglende kontradiksjon </w:t>
      </w:r>
      <w:r>
        <w:t>v</w:t>
      </w:r>
      <w:r w:rsidRPr="00AA24B4">
        <w:t>il ha betydning for konklusjonen i en sak.</w:t>
      </w:r>
    </w:p>
    <w:p w:rsidR="00431363" w:rsidRDefault="00431363" w:rsidP="00B25180">
      <w:pPr>
        <w:shd w:val="clear" w:color="auto" w:fill="FEFEFE"/>
        <w:spacing w:before="210" w:after="210" w:line="240" w:lineRule="auto"/>
        <w:ind w:right="210"/>
      </w:pPr>
    </w:p>
    <w:p w:rsidR="00B25180" w:rsidRPr="007973BA" w:rsidRDefault="00B25180" w:rsidP="00B25180">
      <w:pPr>
        <w:rPr>
          <w:rFonts w:ascii="Cambria" w:eastAsia="Times New Roman" w:hAnsi="Cambria" w:cs="Calibri"/>
          <w:b/>
          <w:bCs/>
          <w:i/>
          <w:color w:val="003388"/>
          <w:sz w:val="24"/>
          <w:szCs w:val="24"/>
          <w:lang w:eastAsia="nb-NO"/>
        </w:rPr>
      </w:pPr>
      <w:r w:rsidRPr="007973BA">
        <w:rPr>
          <w:b/>
          <w:i/>
          <w:u w:val="single"/>
        </w:rPr>
        <w:t>Dokumentasjon</w:t>
      </w:r>
    </w:p>
    <w:p w:rsidR="00B25180" w:rsidRDefault="00B25180" w:rsidP="00B25180">
      <w:pPr>
        <w:shd w:val="clear" w:color="auto" w:fill="FEFEFE"/>
        <w:spacing w:before="210" w:after="210" w:line="240" w:lineRule="auto"/>
        <w:ind w:right="210"/>
      </w:pPr>
      <w:r w:rsidRPr="003B0CF4">
        <w:t xml:space="preserve">Alt </w:t>
      </w:r>
      <w:r>
        <w:t>som er</w:t>
      </w:r>
      <w:r w:rsidRPr="003B0CF4">
        <w:t xml:space="preserve"> relevan</w:t>
      </w:r>
      <w:r>
        <w:t>t i</w:t>
      </w:r>
      <w:r w:rsidRPr="003B0CF4">
        <w:t xml:space="preserve"> saken</w:t>
      </w:r>
      <w:r>
        <w:t>,</w:t>
      </w:r>
      <w:r w:rsidRPr="003B0CF4">
        <w:t xml:space="preserve"> må dokumenteres skriftlig. </w:t>
      </w:r>
    </w:p>
    <w:p w:rsidR="00B25180" w:rsidRDefault="00B25180" w:rsidP="00B25180">
      <w:pPr>
        <w:shd w:val="clear" w:color="auto" w:fill="FEFEFE"/>
        <w:spacing w:before="210" w:after="210" w:line="240" w:lineRule="auto"/>
        <w:ind w:right="210"/>
      </w:pPr>
      <w:r>
        <w:lastRenderedPageBreak/>
        <w:t>S</w:t>
      </w:r>
      <w:r w:rsidRPr="003B0CF4">
        <w:t>amtaler, møter og øvrige forhold som er tatt opp med arbeidstaker</w:t>
      </w:r>
      <w:r>
        <w:t xml:space="preserve">, dokumenteres skriftlig så tidlig som mulig etter </w:t>
      </w:r>
      <w:r w:rsidR="007973BA">
        <w:t xml:space="preserve">at </w:t>
      </w:r>
      <w:r>
        <w:t xml:space="preserve">hendelsen oppstod. </w:t>
      </w:r>
      <w:r w:rsidRPr="003B0CF4">
        <w:t xml:space="preserve">Tilsvarende er det viktig å dokumentere hvilke krav, forventninger og oppfølgingstiltak arbeidsgiver har stilt. Arbeidsgiver har </w:t>
      </w:r>
      <w:r>
        <w:t xml:space="preserve">ansvar for å legge frem dokumentasjon </w:t>
      </w:r>
      <w:r w:rsidRPr="003B0CF4">
        <w:t xml:space="preserve">dersom det senere skulle oppstå tvist vedrørende den aktuelle saken. Viktig dokumentasjon kan </w:t>
      </w:r>
      <w:r>
        <w:t xml:space="preserve">f.eks. </w:t>
      </w:r>
      <w:r w:rsidRPr="003B0CF4">
        <w:t>også være observasjoner fra kollegaer. Innhenting av dokumentasjon for å kartlegge fakta skal gjennomføres forsvarlig og ivareta rettssikkerheten til involverte parter.</w:t>
      </w:r>
    </w:p>
    <w:p w:rsidR="00B25180" w:rsidRDefault="00B25180" w:rsidP="00B25180">
      <w:pPr>
        <w:shd w:val="clear" w:color="auto" w:fill="FEFEFE"/>
        <w:spacing w:before="210" w:after="210" w:line="240" w:lineRule="auto"/>
        <w:ind w:right="210"/>
      </w:pPr>
      <w:r>
        <w:t xml:space="preserve">Dokumentasjon i saken skal arkiveres i samsvar med </w:t>
      </w:r>
      <w:hyperlink r:id="rId9" w:tgtFrame="_blank" w:history="1">
        <w:r>
          <w:rPr>
            <w:rStyle w:val="Hyperkobling"/>
            <w:rFonts w:ascii="Calibri" w:hAnsi="Calibri"/>
            <w:shd w:val="clear" w:color="auto" w:fill="FFFFFF"/>
          </w:rPr>
          <w:t>Arkivering av HR- og personaldokumenter i Public 360</w:t>
        </w:r>
      </w:hyperlink>
      <w:r>
        <w:t>.</w:t>
      </w:r>
      <w:r w:rsidR="00431363">
        <w:t xml:space="preserve"> Maler som følger med retningslinjen, skal brukes i de tilfeller det er mulig.</w:t>
      </w:r>
    </w:p>
    <w:p w:rsidR="00431363" w:rsidRPr="003B0CF4" w:rsidRDefault="00431363" w:rsidP="00B25180">
      <w:pPr>
        <w:shd w:val="clear" w:color="auto" w:fill="FEFEFE"/>
        <w:spacing w:before="210" w:after="210" w:line="240" w:lineRule="auto"/>
        <w:ind w:right="210"/>
      </w:pPr>
    </w:p>
    <w:p w:rsidR="00B25180" w:rsidRPr="007973BA" w:rsidRDefault="00B25180" w:rsidP="00B25180">
      <w:pPr>
        <w:rPr>
          <w:b/>
          <w:i/>
          <w:u w:val="single"/>
        </w:rPr>
      </w:pPr>
      <w:r w:rsidRPr="007973BA">
        <w:rPr>
          <w:b/>
          <w:i/>
          <w:u w:val="single"/>
        </w:rPr>
        <w:t xml:space="preserve">Integritet og verdighet </w:t>
      </w:r>
    </w:p>
    <w:p w:rsidR="00B25180" w:rsidRDefault="00B25180" w:rsidP="00B25180">
      <w:pPr>
        <w:shd w:val="clear" w:color="auto" w:fill="FEFEFE"/>
        <w:spacing w:after="225" w:line="240" w:lineRule="auto"/>
        <w:outlineLvl w:val="1"/>
      </w:pPr>
      <w:bookmarkStart w:id="1" w:name="_Toc165882935"/>
      <w:bookmarkStart w:id="2" w:name="_Toc165883714"/>
      <w:r>
        <w:t>N</w:t>
      </w:r>
      <w:r w:rsidRPr="001507F4">
        <w:t>år personalsaker skal håndteres</w:t>
      </w:r>
      <w:r>
        <w:t xml:space="preserve">, </w:t>
      </w:r>
      <w:r w:rsidRPr="001507F4">
        <w:t>må arbeidstakers integritet og verdighet ivaretas gjennom hele prosessen</w:t>
      </w:r>
      <w:r>
        <w:t>,</w:t>
      </w:r>
      <w:bookmarkEnd w:id="1"/>
      <w:bookmarkEnd w:id="2"/>
      <w:r>
        <w:t xml:space="preserve"> u</w:t>
      </w:r>
      <w:r w:rsidRPr="001507F4">
        <w:t>avhengig av hva som ligger ti</w:t>
      </w:r>
      <w:r>
        <w:t>l grunn for en sak.</w:t>
      </w:r>
    </w:p>
    <w:sectPr w:rsidR="00B2518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DE3" w:rsidRDefault="00C30DE3" w:rsidP="009446DE">
      <w:pPr>
        <w:spacing w:after="0" w:line="240" w:lineRule="auto"/>
      </w:pPr>
      <w:r>
        <w:separator/>
      </w:r>
    </w:p>
  </w:endnote>
  <w:endnote w:type="continuationSeparator" w:id="0">
    <w:p w:rsidR="00C30DE3" w:rsidRDefault="00C30DE3" w:rsidP="0094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DE3" w:rsidRDefault="00C30DE3" w:rsidP="009446DE">
      <w:pPr>
        <w:spacing w:after="0" w:line="240" w:lineRule="auto"/>
      </w:pPr>
      <w:r>
        <w:separator/>
      </w:r>
    </w:p>
  </w:footnote>
  <w:footnote w:type="continuationSeparator" w:id="0">
    <w:p w:rsidR="00C30DE3" w:rsidRDefault="00C30DE3" w:rsidP="00944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6DE" w:rsidRDefault="009446DE" w:rsidP="009446DE">
    <w:pPr>
      <w:pStyle w:val="Topptekst"/>
      <w:jc w:val="right"/>
    </w:pPr>
    <w:r>
      <w:t>Sist oppdatert 01.01.2025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180"/>
    <w:rsid w:val="000B2F1E"/>
    <w:rsid w:val="00281F91"/>
    <w:rsid w:val="00355102"/>
    <w:rsid w:val="003F6F1D"/>
    <w:rsid w:val="004176E1"/>
    <w:rsid w:val="00431363"/>
    <w:rsid w:val="00632941"/>
    <w:rsid w:val="00636620"/>
    <w:rsid w:val="00676FDA"/>
    <w:rsid w:val="006D319B"/>
    <w:rsid w:val="007973BA"/>
    <w:rsid w:val="009446DE"/>
    <w:rsid w:val="009C3BAC"/>
    <w:rsid w:val="00B25180"/>
    <w:rsid w:val="00C30DE3"/>
    <w:rsid w:val="00C43512"/>
    <w:rsid w:val="00CE5E16"/>
    <w:rsid w:val="00CF0447"/>
    <w:rsid w:val="00DA0E8A"/>
    <w:rsid w:val="00E17530"/>
    <w:rsid w:val="00F41D67"/>
    <w:rsid w:val="00FB2033"/>
    <w:rsid w:val="00FF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8A72"/>
  <w15:chartTrackingRefBased/>
  <w15:docId w15:val="{C633ABA7-A0AE-489C-9BB2-9D236BA2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B25180"/>
    <w:rPr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2518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B2518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B25180"/>
    <w:rPr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25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5180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944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446DE"/>
  </w:style>
  <w:style w:type="paragraph" w:styleId="Bunntekst">
    <w:name w:val="footer"/>
    <w:basedOn w:val="Normal"/>
    <w:link w:val="BunntekstTegn"/>
    <w:uiPriority w:val="99"/>
    <w:unhideWhenUsed/>
    <w:rsid w:val="00944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44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vdata.no/lov/1967-02-10/&#167;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vdata.no/lov/2006-05-19-16/&#167;1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vdata.no/lov/1967-02-10/%C2%A76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ehandbok.ous-hf.no/document/13144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Cathrine Nygaard Norseth</dc:creator>
  <cp:keywords/>
  <dc:description/>
  <cp:lastModifiedBy>Christine Lynn Solberg</cp:lastModifiedBy>
  <cp:revision>2</cp:revision>
  <dcterms:created xsi:type="dcterms:W3CDTF">2025-01-08T11:16:00Z</dcterms:created>
  <dcterms:modified xsi:type="dcterms:W3CDTF">2025-01-08T11:16:00Z</dcterms:modified>
</cp:coreProperties>
</file>