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C71D3" w14:textId="309C6936" w:rsidR="008803D5" w:rsidRDefault="00DE6AEC" w:rsidP="008803D5">
      <w:pPr>
        <w:rPr>
          <w:b/>
        </w:rPr>
      </w:pPr>
      <w:r w:rsidRPr="00DE6AEC">
        <w:rPr>
          <w:b/>
        </w:rPr>
        <w:t>For</w:t>
      </w:r>
      <w:r>
        <w:rPr>
          <w:b/>
        </w:rPr>
        <w:t>utsetninger for</w:t>
      </w:r>
      <w:r w:rsidRPr="00DE6AEC">
        <w:rPr>
          <w:b/>
        </w:rPr>
        <w:t xml:space="preserve"> </w:t>
      </w:r>
      <w:r>
        <w:rPr>
          <w:b/>
        </w:rPr>
        <w:t xml:space="preserve">tilbakehold </w:t>
      </w:r>
      <w:r w:rsidR="000D1B75">
        <w:rPr>
          <w:b/>
        </w:rPr>
        <w:t xml:space="preserve">i institusjon uten eget samtykke </w:t>
      </w:r>
      <w:r>
        <w:rPr>
          <w:b/>
        </w:rPr>
        <w:t>hos pasienter innlagt etter HOL § 10-2</w:t>
      </w:r>
    </w:p>
    <w:p w14:paraId="7B7D12EE" w14:textId="77777777" w:rsidR="00894993" w:rsidRDefault="00894993" w:rsidP="008803D5">
      <w:pPr>
        <w:rPr>
          <w:b/>
        </w:rPr>
      </w:pPr>
    </w:p>
    <w:p w14:paraId="41B610E4" w14:textId="3C5CC173" w:rsidR="00894993" w:rsidRPr="00DE6AEC" w:rsidRDefault="00894993" w:rsidP="008803D5">
      <w:pPr>
        <w:rPr>
          <w:b/>
        </w:rPr>
      </w:pPr>
      <w:r>
        <w:rPr>
          <w:b/>
        </w:rPr>
        <w:t>Dokument utarbeidet i samarbeid med juridisk avdeling, OUS v/ Camilla Njå og Marit Kildal</w:t>
      </w:r>
      <w:bookmarkStart w:id="0" w:name="_GoBack"/>
      <w:bookmarkEnd w:id="0"/>
    </w:p>
    <w:p w14:paraId="7C477933" w14:textId="77777777" w:rsidR="008803D5" w:rsidRDefault="008803D5" w:rsidP="008803D5"/>
    <w:p w14:paraId="5D0199A7" w14:textId="77777777" w:rsidR="00A16D3B" w:rsidRPr="00350A46" w:rsidRDefault="00A16D3B" w:rsidP="00350A46">
      <w:pPr>
        <w:pStyle w:val="Listeavsnitt"/>
        <w:numPr>
          <w:ilvl w:val="0"/>
          <w:numId w:val="2"/>
        </w:numPr>
        <w:rPr>
          <w:b/>
        </w:rPr>
      </w:pPr>
      <w:r w:rsidRPr="00350A46">
        <w:rPr>
          <w:b/>
        </w:rPr>
        <w:t>Overordnet:</w:t>
      </w:r>
    </w:p>
    <w:p w14:paraId="21708CE3" w14:textId="77777777" w:rsidR="008803D5" w:rsidRDefault="008803D5" w:rsidP="008803D5">
      <w:pPr>
        <w:rPr>
          <w:shd w:val="clear" w:color="auto" w:fill="FFFFFF"/>
        </w:rPr>
      </w:pPr>
      <w:r>
        <w:rPr>
          <w:shd w:val="clear" w:color="auto" w:fill="FFFFFF"/>
        </w:rPr>
        <w:t>Klinikk for psykisk helse og avhengighet (KPHA) er utpekt av regionalt helseforetak til å ivaret</w:t>
      </w:r>
      <w:r w:rsidR="00A16D3B">
        <w:rPr>
          <w:shd w:val="clear" w:color="auto" w:fill="FFFFFF"/>
        </w:rPr>
        <w:t xml:space="preserve">a pasienter etter </w:t>
      </w:r>
      <w:r w:rsidR="00DA7D6A">
        <w:rPr>
          <w:shd w:val="clear" w:color="auto" w:fill="FFFFFF"/>
        </w:rPr>
        <w:t>helse- og omsorgstjenesteloven (</w:t>
      </w:r>
      <w:r w:rsidR="00A16D3B">
        <w:rPr>
          <w:shd w:val="clear" w:color="auto" w:fill="FFFFFF"/>
        </w:rPr>
        <w:t>HOL</w:t>
      </w:r>
      <w:r w:rsidR="00DA7D6A">
        <w:rPr>
          <w:shd w:val="clear" w:color="auto" w:fill="FFFFFF"/>
        </w:rPr>
        <w:t>)</w:t>
      </w:r>
      <w:r w:rsidR="00A16D3B">
        <w:rPr>
          <w:shd w:val="clear" w:color="auto" w:fill="FFFFFF"/>
        </w:rPr>
        <w:t xml:space="preserve"> § 10-2; «T</w:t>
      </w:r>
      <w:r>
        <w:rPr>
          <w:shd w:val="clear" w:color="auto" w:fill="FFFFFF"/>
        </w:rPr>
        <w:t>ilbakehold i institusjon uten eget samtykke». </w:t>
      </w:r>
    </w:p>
    <w:p w14:paraId="75D9A58C" w14:textId="77777777" w:rsidR="008803D5" w:rsidRDefault="008803D5" w:rsidP="008803D5">
      <w:pPr>
        <w:rPr>
          <w:shd w:val="clear" w:color="auto" w:fill="FFFFFF"/>
        </w:rPr>
      </w:pPr>
      <w:r>
        <w:rPr>
          <w:shd w:val="clear" w:color="auto" w:fill="FFFFFF"/>
        </w:rPr>
        <w:t>KPHA har delegert oppgaven til Avdeling for rus- og avhengighetsbehandling (ARA).</w:t>
      </w:r>
    </w:p>
    <w:p w14:paraId="39B0D7D5" w14:textId="0208AA5D" w:rsidR="00A872F5" w:rsidRDefault="00A16D3B" w:rsidP="008803D5">
      <w:pPr>
        <w:rPr>
          <w:shd w:val="clear" w:color="auto" w:fill="FFFFFF"/>
        </w:rPr>
      </w:pPr>
      <w:r>
        <w:rPr>
          <w:shd w:val="clear" w:color="auto" w:fill="FFFFFF"/>
        </w:rPr>
        <w:t xml:space="preserve">Oppdraget </w:t>
      </w:r>
      <w:r w:rsidR="004A6D98">
        <w:rPr>
          <w:shd w:val="clear" w:color="auto" w:fill="FFFFFF"/>
        </w:rPr>
        <w:t>er</w:t>
      </w:r>
      <w:r>
        <w:rPr>
          <w:shd w:val="clear" w:color="auto" w:fill="FFFFFF"/>
        </w:rPr>
        <w:t xml:space="preserve"> </w:t>
      </w:r>
      <w:r w:rsidR="004A6D98">
        <w:rPr>
          <w:shd w:val="clear" w:color="auto" w:fill="FFFFFF"/>
        </w:rPr>
        <w:t xml:space="preserve">å forstå som </w:t>
      </w:r>
      <w:r>
        <w:rPr>
          <w:shd w:val="clear" w:color="auto" w:fill="FFFFFF"/>
        </w:rPr>
        <w:t>livreddend</w:t>
      </w:r>
      <w:r w:rsidR="004A6D98">
        <w:rPr>
          <w:shd w:val="clear" w:color="auto" w:fill="FFFFFF"/>
        </w:rPr>
        <w:t>e</w:t>
      </w:r>
      <w:r w:rsidR="00CF7014">
        <w:rPr>
          <w:shd w:val="clear" w:color="auto" w:fill="FFFFFF"/>
        </w:rPr>
        <w:t xml:space="preserve"> </w:t>
      </w:r>
      <w:r w:rsidR="004A6D98">
        <w:rPr>
          <w:shd w:val="clear" w:color="auto" w:fill="FFFFFF"/>
        </w:rPr>
        <w:t xml:space="preserve">på grunn av ukritisk atferd som </w:t>
      </w:r>
      <w:r w:rsidR="00D9100C">
        <w:rPr>
          <w:shd w:val="clear" w:color="auto" w:fill="FFFFFF"/>
        </w:rPr>
        <w:t>pasienten</w:t>
      </w:r>
      <w:r w:rsidR="00CF7014">
        <w:rPr>
          <w:shd w:val="clear" w:color="auto" w:fill="FFFFFF"/>
        </w:rPr>
        <w:t xml:space="preserve"> </w:t>
      </w:r>
      <w:r w:rsidR="00D9100C">
        <w:rPr>
          <w:shd w:val="clear" w:color="auto" w:fill="FFFFFF"/>
        </w:rPr>
        <w:t>utsetter s</w:t>
      </w:r>
      <w:r w:rsidR="004A6D98">
        <w:rPr>
          <w:shd w:val="clear" w:color="auto" w:fill="FFFFFF"/>
        </w:rPr>
        <w:t>eg for</w:t>
      </w:r>
      <w:r w:rsidR="00EF7AD4">
        <w:rPr>
          <w:shd w:val="clear" w:color="auto" w:fill="FFFFFF"/>
        </w:rPr>
        <w:t>. V</w:t>
      </w:r>
      <w:r w:rsidR="00283F99">
        <w:rPr>
          <w:shd w:val="clear" w:color="auto" w:fill="FFFFFF"/>
        </w:rPr>
        <w:t>ilkårene for tilbakehold er at pasienten utsetter sin egen psykiske eller fysiske helse for fare ved omfattende og vedvarende misbruk</w:t>
      </w:r>
      <w:r w:rsidR="00DA7D6A">
        <w:rPr>
          <w:shd w:val="clear" w:color="auto" w:fill="FFFFFF"/>
        </w:rPr>
        <w:t>, og at</w:t>
      </w:r>
      <w:r w:rsidR="00350A46">
        <w:rPr>
          <w:shd w:val="clear" w:color="auto" w:fill="FFFFFF"/>
        </w:rPr>
        <w:t xml:space="preserve"> </w:t>
      </w:r>
      <w:r w:rsidR="00DA7D6A">
        <w:rPr>
          <w:color w:val="000000"/>
          <w:shd w:val="clear" w:color="auto" w:fill="FFFFFF"/>
        </w:rPr>
        <w:t>hjelpetiltak ikke er tilstrekkelig</w:t>
      </w:r>
      <w:r w:rsidR="00350A46">
        <w:rPr>
          <w:color w:val="000000"/>
          <w:shd w:val="clear" w:color="auto" w:fill="FFFFFF"/>
        </w:rPr>
        <w:t>.</w:t>
      </w:r>
    </w:p>
    <w:p w14:paraId="5054D67A" w14:textId="77777777" w:rsidR="00283F99" w:rsidRDefault="00283F99" w:rsidP="008803D5">
      <w:pPr>
        <w:rPr>
          <w:shd w:val="clear" w:color="auto" w:fill="FFFFFF"/>
        </w:rPr>
      </w:pPr>
    </w:p>
    <w:p w14:paraId="61B4E6D4" w14:textId="77777777" w:rsidR="008803D5" w:rsidRDefault="00A872F5" w:rsidP="008803D5">
      <w:pPr>
        <w:rPr>
          <w:shd w:val="clear" w:color="auto" w:fill="FFFFFF"/>
        </w:rPr>
      </w:pPr>
      <w:r>
        <w:rPr>
          <w:shd w:val="clear" w:color="auto" w:fill="FFFFFF"/>
        </w:rPr>
        <w:t>Oppdraget er</w:t>
      </w:r>
      <w:r w:rsidR="008803D5">
        <w:rPr>
          <w:shd w:val="clear" w:color="auto" w:fill="FFFFFF"/>
        </w:rPr>
        <w:t xml:space="preserve"> </w:t>
      </w:r>
      <w:r>
        <w:rPr>
          <w:shd w:val="clear" w:color="auto" w:fill="FFFFFF"/>
        </w:rPr>
        <w:t xml:space="preserve">dermed </w:t>
      </w:r>
      <w:r w:rsidR="008803D5">
        <w:rPr>
          <w:shd w:val="clear" w:color="auto" w:fill="FFFFFF"/>
        </w:rPr>
        <w:t>et viktig samfunnsansvar for å ivareta en av de svakeste gruppene i samfunnet.</w:t>
      </w:r>
    </w:p>
    <w:p w14:paraId="74082B0E" w14:textId="77777777" w:rsidR="00A16D3B" w:rsidRDefault="00A16D3B" w:rsidP="008803D5">
      <w:pPr>
        <w:rPr>
          <w:shd w:val="clear" w:color="auto" w:fill="FFFFFF"/>
        </w:rPr>
      </w:pPr>
    </w:p>
    <w:p w14:paraId="7868A255" w14:textId="77777777" w:rsidR="008803D5" w:rsidRDefault="008803D5" w:rsidP="008803D5">
      <w:pPr>
        <w:rPr>
          <w:shd w:val="clear" w:color="auto" w:fill="FFFFFF"/>
        </w:rPr>
      </w:pPr>
      <w:r>
        <w:rPr>
          <w:shd w:val="clear" w:color="auto" w:fill="FFFFFF"/>
        </w:rPr>
        <w:t xml:space="preserve">Avdeling rus- og avhengighetsbehandling er i en omstillingsfase hvor </w:t>
      </w:r>
      <w:r w:rsidR="004A6D98">
        <w:rPr>
          <w:shd w:val="clear" w:color="auto" w:fill="FFFFFF"/>
        </w:rPr>
        <w:t>døgn</w:t>
      </w:r>
      <w:r>
        <w:rPr>
          <w:shd w:val="clear" w:color="auto" w:fill="FFFFFF"/>
        </w:rPr>
        <w:t>behandling etter H</w:t>
      </w:r>
      <w:r w:rsidR="00A872F5">
        <w:rPr>
          <w:shd w:val="clear" w:color="auto" w:fill="FFFFFF"/>
        </w:rPr>
        <w:t>OL § 10-2 i sin helhet deleger</w:t>
      </w:r>
      <w:r w:rsidR="004A6D98">
        <w:rPr>
          <w:shd w:val="clear" w:color="auto" w:fill="FFFFFF"/>
        </w:rPr>
        <w:t>es</w:t>
      </w:r>
      <w:r>
        <w:rPr>
          <w:shd w:val="clear" w:color="auto" w:fill="FFFFFF"/>
        </w:rPr>
        <w:t xml:space="preserve"> til seksjon rusakuttmottak og avgiftning.</w:t>
      </w:r>
    </w:p>
    <w:p w14:paraId="61288698" w14:textId="77777777" w:rsidR="008803D5" w:rsidRDefault="008803D5" w:rsidP="008803D5">
      <w:pPr>
        <w:rPr>
          <w:shd w:val="clear" w:color="auto" w:fill="FFFFFF"/>
        </w:rPr>
      </w:pPr>
    </w:p>
    <w:p w14:paraId="6AC06ED3" w14:textId="7BF5E600" w:rsidR="008803D5" w:rsidRDefault="008803D5" w:rsidP="008803D5">
      <w:pPr>
        <w:rPr>
          <w:shd w:val="clear" w:color="auto" w:fill="FFFFFF"/>
        </w:rPr>
      </w:pPr>
      <w:r>
        <w:rPr>
          <w:shd w:val="clear" w:color="auto" w:fill="FFFFFF"/>
        </w:rPr>
        <w:t>Det vises til gje</w:t>
      </w:r>
      <w:r w:rsidR="009941D5">
        <w:rPr>
          <w:shd w:val="clear" w:color="auto" w:fill="FFFFFF"/>
        </w:rPr>
        <w:t>ldende lovverk og</w:t>
      </w:r>
      <w:r w:rsidR="00A16D3B">
        <w:rPr>
          <w:shd w:val="clear" w:color="auto" w:fill="FFFFFF"/>
        </w:rPr>
        <w:t xml:space="preserve"> prosedyrer. Intensjonen med dette dokument er å </w:t>
      </w:r>
      <w:r w:rsidR="00236C7C">
        <w:rPr>
          <w:shd w:val="clear" w:color="auto" w:fill="FFFFFF"/>
        </w:rPr>
        <w:t>forenkle</w:t>
      </w:r>
      <w:r w:rsidR="009941D5">
        <w:rPr>
          <w:shd w:val="clear" w:color="auto" w:fill="FFFFFF"/>
        </w:rPr>
        <w:t xml:space="preserve"> og </w:t>
      </w:r>
      <w:r w:rsidR="00A16D3B">
        <w:rPr>
          <w:shd w:val="clear" w:color="auto" w:fill="FFFFFF"/>
        </w:rPr>
        <w:t xml:space="preserve">vise tydelighet for å begrense </w:t>
      </w:r>
      <w:r w:rsidR="009941D5">
        <w:rPr>
          <w:shd w:val="clear" w:color="auto" w:fill="FFFFFF"/>
        </w:rPr>
        <w:t>risiko</w:t>
      </w:r>
      <w:r>
        <w:rPr>
          <w:shd w:val="clear" w:color="auto" w:fill="FFFFFF"/>
        </w:rPr>
        <w:t xml:space="preserve"> for </w:t>
      </w:r>
      <w:r w:rsidR="00F90517">
        <w:rPr>
          <w:shd w:val="clear" w:color="auto" w:fill="FFFFFF"/>
        </w:rPr>
        <w:t>feil</w:t>
      </w:r>
      <w:r>
        <w:rPr>
          <w:shd w:val="clear" w:color="auto" w:fill="FFFFFF"/>
        </w:rPr>
        <w:t>tolknin</w:t>
      </w:r>
      <w:r w:rsidR="00A16D3B">
        <w:rPr>
          <w:shd w:val="clear" w:color="auto" w:fill="FFFFFF"/>
        </w:rPr>
        <w:t>ger</w:t>
      </w:r>
      <w:r w:rsidR="009941D5">
        <w:rPr>
          <w:shd w:val="clear" w:color="auto" w:fill="FFFFFF"/>
        </w:rPr>
        <w:t xml:space="preserve"> og eventuelle misforståelser</w:t>
      </w:r>
      <w:r w:rsidR="00A16D3B">
        <w:rPr>
          <w:shd w:val="clear" w:color="auto" w:fill="FFFFFF"/>
        </w:rPr>
        <w:t>.</w:t>
      </w:r>
    </w:p>
    <w:p w14:paraId="73688D49" w14:textId="77777777" w:rsidR="008803D5" w:rsidRDefault="008803D5" w:rsidP="008803D5">
      <w:pPr>
        <w:rPr>
          <w:shd w:val="clear" w:color="auto" w:fill="FFFFFF"/>
        </w:rPr>
      </w:pPr>
    </w:p>
    <w:p w14:paraId="0D01144C" w14:textId="358A6162" w:rsidR="008803D5" w:rsidRPr="00350A46" w:rsidRDefault="000D1B75" w:rsidP="00350A46">
      <w:pPr>
        <w:pStyle w:val="Listeavsnitt"/>
        <w:numPr>
          <w:ilvl w:val="0"/>
          <w:numId w:val="2"/>
        </w:numPr>
        <w:rPr>
          <w:b/>
          <w:shd w:val="clear" w:color="auto" w:fill="FFFFFF"/>
        </w:rPr>
      </w:pPr>
      <w:r w:rsidRPr="00350A46">
        <w:rPr>
          <w:b/>
          <w:shd w:val="clear" w:color="auto" w:fill="FFFFFF"/>
        </w:rPr>
        <w:t>T</w:t>
      </w:r>
      <w:r w:rsidR="008803D5" w:rsidRPr="00350A46">
        <w:rPr>
          <w:b/>
          <w:shd w:val="clear" w:color="auto" w:fill="FFFFFF"/>
        </w:rPr>
        <w:t xml:space="preserve">vangsvedtak: </w:t>
      </w:r>
    </w:p>
    <w:p w14:paraId="7D7454F0" w14:textId="1DCBA24F" w:rsidR="008803D5" w:rsidRDefault="008803D5" w:rsidP="008803D5">
      <w:pPr>
        <w:rPr>
          <w:rFonts w:ascii="Calibri" w:hAnsi="Calibri" w:cs="Calibri"/>
          <w:color w:val="333333"/>
          <w:shd w:val="clear" w:color="auto" w:fill="FFFFFF"/>
        </w:rPr>
      </w:pPr>
      <w:r>
        <w:rPr>
          <w:shd w:val="clear" w:color="auto" w:fill="FFFFFF"/>
        </w:rPr>
        <w:t>K</w:t>
      </w:r>
      <w:r>
        <w:rPr>
          <w:rFonts w:ascii="Calibri" w:hAnsi="Calibri" w:cs="Calibri"/>
          <w:color w:val="333333"/>
          <w:shd w:val="clear" w:color="auto" w:fill="FFFFFF"/>
        </w:rPr>
        <w:t xml:space="preserve">ommunen forbereder, fremmer, iverksetter og følger opp tvangsvedtak etter </w:t>
      </w:r>
      <w:r w:rsidR="00DA7D6A">
        <w:rPr>
          <w:rFonts w:ascii="Calibri" w:hAnsi="Calibri" w:cs="Calibri"/>
          <w:color w:val="333333"/>
          <w:shd w:val="clear" w:color="auto" w:fill="FFFFFF"/>
        </w:rPr>
        <w:t>HOL</w:t>
      </w:r>
      <w:r>
        <w:rPr>
          <w:rFonts w:ascii="Calibri" w:hAnsi="Calibri" w:cs="Calibri"/>
          <w:color w:val="333333"/>
          <w:shd w:val="clear" w:color="auto" w:fill="FFFFFF"/>
        </w:rPr>
        <w:t xml:space="preserve"> § 10-2. </w:t>
      </w:r>
    </w:p>
    <w:p w14:paraId="4E4B641D" w14:textId="49027985" w:rsidR="00D5535D" w:rsidRPr="00A872F5" w:rsidRDefault="008803D5" w:rsidP="008803D5">
      <w:pPr>
        <w:rPr>
          <w:rFonts w:ascii="Calibri" w:hAnsi="Calibri" w:cs="Calibri"/>
          <w:shd w:val="clear" w:color="auto" w:fill="FFFFFF"/>
        </w:rPr>
      </w:pPr>
      <w:r w:rsidRPr="00A872F5">
        <w:rPr>
          <w:rFonts w:ascii="Calibri" w:hAnsi="Calibri" w:cs="Calibri"/>
          <w:shd w:val="clear" w:color="auto" w:fill="FFFFFF"/>
        </w:rPr>
        <w:t>Vedtak om t</w:t>
      </w:r>
      <w:r w:rsidR="00283F99">
        <w:rPr>
          <w:rFonts w:ascii="Calibri" w:hAnsi="Calibri" w:cs="Calibri"/>
          <w:shd w:val="clear" w:color="auto" w:fill="FFFFFF"/>
        </w:rPr>
        <w:t>ilbakehold i institusjon uten eget samtykke</w:t>
      </w:r>
      <w:r w:rsidRPr="00A872F5">
        <w:rPr>
          <w:rFonts w:ascii="Calibri" w:hAnsi="Calibri" w:cs="Calibri"/>
          <w:shd w:val="clear" w:color="auto" w:fill="FFFFFF"/>
        </w:rPr>
        <w:t xml:space="preserve"> fattes av </w:t>
      </w:r>
      <w:r w:rsidR="00DA7D6A" w:rsidRPr="00DA7D6A">
        <w:rPr>
          <w:rFonts w:cstheme="minorHAnsi"/>
          <w:color w:val="333333"/>
          <w:shd w:val="clear" w:color="auto" w:fill="FFFFFF"/>
        </w:rPr>
        <w:t>barnevern- og helsenemnda</w:t>
      </w:r>
      <w:r w:rsidR="00EF7AD4">
        <w:rPr>
          <w:rFonts w:cstheme="minorHAnsi"/>
          <w:color w:val="333333"/>
          <w:shd w:val="clear" w:color="auto" w:fill="FFFFFF"/>
        </w:rPr>
        <w:t xml:space="preserve"> (Nemda)</w:t>
      </w:r>
      <w:r w:rsidRPr="00A872F5">
        <w:rPr>
          <w:rFonts w:ascii="Calibri" w:hAnsi="Calibri" w:cs="Calibri"/>
          <w:shd w:val="clear" w:color="auto" w:fill="FFFFFF"/>
        </w:rPr>
        <w:t xml:space="preserve"> med v</w:t>
      </w:r>
      <w:r w:rsidR="00A16D3B" w:rsidRPr="00A872F5">
        <w:rPr>
          <w:rFonts w:ascii="Calibri" w:hAnsi="Calibri" w:cs="Calibri"/>
          <w:shd w:val="clear" w:color="auto" w:fill="FFFFFF"/>
        </w:rPr>
        <w:t xml:space="preserve">arighet i </w:t>
      </w:r>
      <w:r w:rsidR="00A872F5">
        <w:rPr>
          <w:rFonts w:ascii="Calibri" w:hAnsi="Calibri" w:cs="Calibri"/>
          <w:shd w:val="clear" w:color="auto" w:fill="FFFFFF"/>
        </w:rPr>
        <w:t xml:space="preserve">opptil </w:t>
      </w:r>
      <w:r w:rsidR="00A16D3B" w:rsidRPr="00A872F5">
        <w:rPr>
          <w:rFonts w:ascii="Calibri" w:hAnsi="Calibri" w:cs="Calibri"/>
          <w:shd w:val="clear" w:color="auto" w:fill="FFFFFF"/>
        </w:rPr>
        <w:t xml:space="preserve">3 måneder. </w:t>
      </w:r>
      <w:r w:rsidR="00283F99">
        <w:rPr>
          <w:rFonts w:ascii="Calibri" w:hAnsi="Calibri" w:cs="Calibri"/>
          <w:shd w:val="clear" w:color="auto" w:fill="FFFFFF"/>
        </w:rPr>
        <w:t xml:space="preserve">Det er </w:t>
      </w:r>
      <w:r w:rsidR="00EA11A1">
        <w:rPr>
          <w:rFonts w:ascii="Calibri" w:hAnsi="Calibri" w:cs="Calibri"/>
          <w:shd w:val="clear" w:color="auto" w:fill="FFFFFF"/>
        </w:rPr>
        <w:t>N</w:t>
      </w:r>
      <w:r w:rsidR="00283F99">
        <w:rPr>
          <w:rFonts w:ascii="Calibri" w:hAnsi="Calibri" w:cs="Calibri"/>
          <w:shd w:val="clear" w:color="auto" w:fill="FFFFFF"/>
        </w:rPr>
        <w:t>em</w:t>
      </w:r>
      <w:r w:rsidR="00DA7D6A">
        <w:rPr>
          <w:rFonts w:ascii="Calibri" w:hAnsi="Calibri" w:cs="Calibri"/>
          <w:shd w:val="clear" w:color="auto" w:fill="FFFFFF"/>
        </w:rPr>
        <w:t>n</w:t>
      </w:r>
      <w:r w:rsidR="00283F99">
        <w:rPr>
          <w:rFonts w:ascii="Calibri" w:hAnsi="Calibri" w:cs="Calibri"/>
          <w:shd w:val="clear" w:color="auto" w:fill="FFFFFF"/>
        </w:rPr>
        <w:t>da som vurderer om vilkår</w:t>
      </w:r>
      <w:r w:rsidR="00DA7D6A">
        <w:rPr>
          <w:rFonts w:ascii="Calibri" w:hAnsi="Calibri" w:cs="Calibri"/>
          <w:shd w:val="clear" w:color="auto" w:fill="FFFFFF"/>
        </w:rPr>
        <w:t>e</w:t>
      </w:r>
      <w:r w:rsidR="00283F99">
        <w:rPr>
          <w:rFonts w:ascii="Calibri" w:hAnsi="Calibri" w:cs="Calibri"/>
          <w:shd w:val="clear" w:color="auto" w:fill="FFFFFF"/>
        </w:rPr>
        <w:t>ne for tilbakehold er oppfylt</w:t>
      </w:r>
      <w:r w:rsidR="000D1B75">
        <w:rPr>
          <w:rFonts w:ascii="Calibri" w:hAnsi="Calibri" w:cs="Calibri"/>
          <w:shd w:val="clear" w:color="auto" w:fill="FFFFFF"/>
        </w:rPr>
        <w:t>. Ansatte ved Oslo universitetssykehus HF (OUS)</w:t>
      </w:r>
      <w:r w:rsidR="00A16D3B" w:rsidRPr="00A872F5">
        <w:rPr>
          <w:rFonts w:ascii="Calibri" w:hAnsi="Calibri" w:cs="Calibri"/>
          <w:shd w:val="clear" w:color="auto" w:fill="FFFFFF"/>
        </w:rPr>
        <w:t xml:space="preserve">har </w:t>
      </w:r>
      <w:r w:rsidRPr="00A872F5">
        <w:rPr>
          <w:rFonts w:ascii="Calibri" w:hAnsi="Calibri" w:cs="Calibri"/>
          <w:shd w:val="clear" w:color="auto" w:fill="FFFFFF"/>
        </w:rPr>
        <w:t>ikke anledning til å</w:t>
      </w:r>
      <w:r w:rsidR="000D1B75">
        <w:rPr>
          <w:rFonts w:ascii="Calibri" w:hAnsi="Calibri" w:cs="Calibri"/>
          <w:shd w:val="clear" w:color="auto" w:fill="FFFFFF"/>
        </w:rPr>
        <w:t xml:space="preserve"> handle i strid</w:t>
      </w:r>
      <w:r w:rsidRPr="00A872F5">
        <w:rPr>
          <w:rFonts w:ascii="Calibri" w:hAnsi="Calibri" w:cs="Calibri"/>
          <w:shd w:val="clear" w:color="auto" w:fill="FFFFFF"/>
        </w:rPr>
        <w:t xml:space="preserve"> </w:t>
      </w:r>
      <w:r w:rsidR="000D1B75">
        <w:rPr>
          <w:rFonts w:ascii="Calibri" w:hAnsi="Calibri" w:cs="Calibri"/>
          <w:shd w:val="clear" w:color="auto" w:fill="FFFFFF"/>
        </w:rPr>
        <w:t>med</w:t>
      </w:r>
      <w:r w:rsidR="00350A46">
        <w:rPr>
          <w:rFonts w:ascii="Calibri" w:hAnsi="Calibri" w:cs="Calibri"/>
          <w:shd w:val="clear" w:color="auto" w:fill="FFFFFF"/>
        </w:rPr>
        <w:t xml:space="preserve"> </w:t>
      </w:r>
      <w:r w:rsidR="00A16D3B" w:rsidRPr="00A872F5">
        <w:rPr>
          <w:rFonts w:ascii="Calibri" w:hAnsi="Calibri" w:cs="Calibri"/>
          <w:shd w:val="clear" w:color="auto" w:fill="FFFFFF"/>
        </w:rPr>
        <w:t>vedtaket</w:t>
      </w:r>
      <w:r w:rsidRPr="00A872F5">
        <w:rPr>
          <w:rFonts w:ascii="Calibri" w:hAnsi="Calibri" w:cs="Calibri"/>
          <w:shd w:val="clear" w:color="auto" w:fill="FFFFFF"/>
        </w:rPr>
        <w:t>. Koordinering i OUS skjer via</w:t>
      </w:r>
      <w:r w:rsidR="00DA5BF4">
        <w:rPr>
          <w:rFonts w:ascii="Calibri" w:hAnsi="Calibri" w:cs="Calibri"/>
          <w:shd w:val="clear" w:color="auto" w:fill="FFFFFF"/>
        </w:rPr>
        <w:t xml:space="preserve"> Seksjon henvisning analyse og pasientstrøm</w:t>
      </w:r>
      <w:r w:rsidR="004A6D98">
        <w:rPr>
          <w:rFonts w:ascii="Calibri" w:hAnsi="Calibri" w:cs="Calibri"/>
          <w:shd w:val="clear" w:color="auto" w:fill="FFFFFF"/>
        </w:rPr>
        <w:t xml:space="preserve"> (SHAP)</w:t>
      </w:r>
      <w:r w:rsidR="00DA5BF4">
        <w:rPr>
          <w:rFonts w:ascii="Calibri" w:hAnsi="Calibri" w:cs="Calibri"/>
          <w:shd w:val="clear" w:color="auto" w:fill="FFFFFF"/>
        </w:rPr>
        <w:t xml:space="preserve"> ved </w:t>
      </w:r>
      <w:proofErr w:type="spellStart"/>
      <w:r w:rsidRPr="00A872F5">
        <w:rPr>
          <w:rFonts w:ascii="Calibri" w:hAnsi="Calibri" w:cs="Calibri"/>
          <w:shd w:val="clear" w:color="auto" w:fill="FFFFFF"/>
        </w:rPr>
        <w:t>ARAs</w:t>
      </w:r>
      <w:proofErr w:type="spellEnd"/>
      <w:r w:rsidRPr="00A872F5">
        <w:rPr>
          <w:rFonts w:ascii="Calibri" w:hAnsi="Calibri" w:cs="Calibri"/>
          <w:shd w:val="clear" w:color="auto" w:fill="FFFFFF"/>
        </w:rPr>
        <w:t xml:space="preserve"> bistandsteam</w:t>
      </w:r>
      <w:r w:rsidR="00DA5BF4">
        <w:rPr>
          <w:rFonts w:ascii="Calibri" w:hAnsi="Calibri" w:cs="Calibri"/>
          <w:shd w:val="clear" w:color="auto" w:fill="FFFFFF"/>
        </w:rPr>
        <w:t>/møte</w:t>
      </w:r>
      <w:r w:rsidRPr="00A872F5">
        <w:rPr>
          <w:rFonts w:ascii="Calibri" w:hAnsi="Calibri" w:cs="Calibri"/>
          <w:shd w:val="clear" w:color="auto" w:fill="FFFFFF"/>
        </w:rPr>
        <w:t>.</w:t>
      </w:r>
      <w:r w:rsidR="000D1B75">
        <w:t xml:space="preserve"> Det er kun NAV som kan fremme anmodning om </w:t>
      </w:r>
      <w:r w:rsidR="00D5535D">
        <w:t>å omgjøre vedtaket.</w:t>
      </w:r>
    </w:p>
    <w:p w14:paraId="3D4C827A" w14:textId="77777777" w:rsidR="008803D5" w:rsidRDefault="008803D5" w:rsidP="008803D5"/>
    <w:p w14:paraId="3B366946" w14:textId="539EB052" w:rsidR="003636FB" w:rsidRPr="003636FB" w:rsidRDefault="000D1B75" w:rsidP="003636FB">
      <w:pPr>
        <w:rPr>
          <w:b/>
        </w:rPr>
      </w:pPr>
      <w:r>
        <w:rPr>
          <w:b/>
        </w:rPr>
        <w:t>Krav til enheten</w:t>
      </w:r>
      <w:r w:rsidR="003636FB" w:rsidRPr="003636FB">
        <w:rPr>
          <w:b/>
        </w:rPr>
        <w:t xml:space="preserve">: </w:t>
      </w:r>
    </w:p>
    <w:p w14:paraId="31716BF0" w14:textId="6E5A080B" w:rsidR="009941D5" w:rsidRDefault="009941D5" w:rsidP="009941D5">
      <w:r>
        <w:t xml:space="preserve">Enheten skal sikre </w:t>
      </w:r>
      <w:r w:rsidR="000D1B75">
        <w:t xml:space="preserve">riktig </w:t>
      </w:r>
      <w:r>
        <w:t>kompetanse og ferdigheter hos den ansatte</w:t>
      </w:r>
      <w:r w:rsidR="000D1B75">
        <w:t>.</w:t>
      </w:r>
    </w:p>
    <w:p w14:paraId="1932E3E3" w14:textId="37D12513" w:rsidR="003636FB" w:rsidRDefault="003636FB" w:rsidP="003636FB">
      <w:pPr>
        <w:rPr>
          <w:rFonts w:ascii="Calibri" w:hAnsi="Calibri" w:cs="Calibri"/>
          <w:color w:val="000000"/>
          <w:shd w:val="clear" w:color="auto" w:fill="FFFFFF"/>
        </w:rPr>
      </w:pPr>
      <w:r>
        <w:t xml:space="preserve">Institusjonen skal være materielt og faglig rustet til å ivareta forventningene om tilbakehold </w:t>
      </w:r>
      <w:r w:rsidR="000D1B75">
        <w:t xml:space="preserve">i institusjon uten eget samtykke, og </w:t>
      </w:r>
      <w:r>
        <w:t xml:space="preserve">forhindre rømning. </w:t>
      </w:r>
      <w:r w:rsidR="009941D5">
        <w:rPr>
          <w:rFonts w:ascii="Calibri" w:hAnsi="Calibri" w:cs="Calibri"/>
          <w:color w:val="000000"/>
          <w:shd w:val="clear" w:color="auto" w:fill="FFFFFF"/>
        </w:rPr>
        <w:t>Enheten skal vær</w:t>
      </w:r>
      <w:r>
        <w:rPr>
          <w:rFonts w:ascii="Calibri" w:hAnsi="Calibri" w:cs="Calibri"/>
          <w:color w:val="000000"/>
          <w:shd w:val="clear" w:color="auto" w:fill="FFFFFF"/>
        </w:rPr>
        <w:t>e lukket. Bevegelsesfrihet må ikke gå på bekostning av rømningsfare.</w:t>
      </w:r>
    </w:p>
    <w:p w14:paraId="505D44BE" w14:textId="77777777" w:rsidR="003636FB" w:rsidRDefault="003636FB" w:rsidP="003636FB"/>
    <w:p w14:paraId="25231F97" w14:textId="20C3911A" w:rsidR="002158F3" w:rsidRDefault="00EA11A1" w:rsidP="002158F3">
      <w:pPr>
        <w:rPr>
          <w:b/>
        </w:rPr>
      </w:pPr>
      <w:r>
        <w:rPr>
          <w:b/>
        </w:rPr>
        <w:t xml:space="preserve">3. </w:t>
      </w:r>
      <w:r w:rsidR="00F53E61">
        <w:rPr>
          <w:b/>
        </w:rPr>
        <w:t xml:space="preserve">Rutiner for </w:t>
      </w:r>
      <w:r w:rsidR="000D1B75">
        <w:rPr>
          <w:b/>
        </w:rPr>
        <w:t>den enheten (</w:t>
      </w:r>
      <w:r w:rsidR="00A16D3B" w:rsidRPr="00A16D3B">
        <w:rPr>
          <w:b/>
        </w:rPr>
        <w:t xml:space="preserve">ARA/ </w:t>
      </w:r>
      <w:r w:rsidR="008803D5" w:rsidRPr="00A16D3B">
        <w:rPr>
          <w:b/>
        </w:rPr>
        <w:t>Rusakuttmottak</w:t>
      </w:r>
      <w:r w:rsidR="000D1B75">
        <w:rPr>
          <w:b/>
        </w:rPr>
        <w:t>)</w:t>
      </w:r>
      <w:r w:rsidR="008803D5" w:rsidRPr="00A16D3B">
        <w:rPr>
          <w:b/>
        </w:rPr>
        <w:t xml:space="preserve"> som skal ivareta </w:t>
      </w:r>
      <w:r w:rsidR="00A16D3B">
        <w:rPr>
          <w:b/>
        </w:rPr>
        <w:t xml:space="preserve">pasienter underlagt </w:t>
      </w:r>
      <w:r w:rsidR="008803D5" w:rsidRPr="00A16D3B">
        <w:rPr>
          <w:b/>
        </w:rPr>
        <w:t>vedtak</w:t>
      </w:r>
      <w:r w:rsidR="000D1B75">
        <w:rPr>
          <w:b/>
        </w:rPr>
        <w:t xml:space="preserve"> om tilbakehold i institusjon uten eget samtykke</w:t>
      </w:r>
      <w:r w:rsidR="002158F3">
        <w:rPr>
          <w:b/>
        </w:rPr>
        <w:t xml:space="preserve">- </w:t>
      </w:r>
      <w:r w:rsidR="002158F3" w:rsidRPr="002158F3">
        <w:rPr>
          <w:b/>
        </w:rPr>
        <w:t xml:space="preserve"> </w:t>
      </w:r>
      <w:r w:rsidR="002158F3" w:rsidRPr="003636FB">
        <w:rPr>
          <w:b/>
        </w:rPr>
        <w:t>Spesifikt om tilbakehold:</w:t>
      </w:r>
    </w:p>
    <w:p w14:paraId="4F7FB347" w14:textId="2892F280" w:rsidR="002158F3" w:rsidRDefault="002158F3" w:rsidP="002158F3">
      <w:r>
        <w:t>Pasienter som innlegges etter vedtak i</w:t>
      </w:r>
      <w:r w:rsidR="00EF7AD4">
        <w:t xml:space="preserve"> Nemda</w:t>
      </w:r>
      <w:r>
        <w:t xml:space="preserve"> er vurdert å være i livsfare</w:t>
      </w:r>
      <w:r w:rsidR="00707622">
        <w:t xml:space="preserve">. </w:t>
      </w:r>
      <w:r>
        <w:t xml:space="preserve">Tilbakehold er hovedformålet med vedtak og således overordnet formål. </w:t>
      </w:r>
      <w:r w:rsidR="000D1B75">
        <w:t>V</w:t>
      </w:r>
      <w:r>
        <w:t xml:space="preserve">edtaket skal sikre pasienten en rusfri periode for å </w:t>
      </w:r>
      <w:r w:rsidR="004A6D98">
        <w:t>komme</w:t>
      </w:r>
      <w:r>
        <w:t xml:space="preserve"> i stand til å ta informerte valg</w:t>
      </w:r>
      <w:r w:rsidR="004A6D98">
        <w:t xml:space="preserve"> </w:t>
      </w:r>
      <w:r w:rsidR="00E559CC">
        <w:t xml:space="preserve">om videre behandling og </w:t>
      </w:r>
      <w:r w:rsidR="000D1B75">
        <w:t xml:space="preserve">eventuelt </w:t>
      </w:r>
      <w:r w:rsidR="00E559CC">
        <w:t>rehabilitering basert på eget samtykke.</w:t>
      </w:r>
    </w:p>
    <w:p w14:paraId="710D994F" w14:textId="77777777" w:rsidR="008803D5" w:rsidRDefault="008803D5" w:rsidP="008803D5"/>
    <w:p w14:paraId="4D29B995" w14:textId="19472F2D" w:rsidR="001F5D20" w:rsidRDefault="000D1B75" w:rsidP="008803D5">
      <w:r>
        <w:t xml:space="preserve">Vedtaket i </w:t>
      </w:r>
      <w:r w:rsidR="00EF7AD4">
        <w:t>Nemda</w:t>
      </w:r>
      <w:r>
        <w:t xml:space="preserve"> inn</w:t>
      </w:r>
      <w:r w:rsidR="007A1653">
        <w:t>e</w:t>
      </w:r>
      <w:r>
        <w:t xml:space="preserve">bærer en forpliktelse for avdelingen å </w:t>
      </w:r>
      <w:r w:rsidR="008803D5" w:rsidRPr="00350A46">
        <w:t>tilbakehold</w:t>
      </w:r>
      <w:r w:rsidRPr="00350A46">
        <w:t>e</w:t>
      </w:r>
      <w:r w:rsidR="00F53E61">
        <w:t xml:space="preserve"> </w:t>
      </w:r>
      <w:r w:rsidR="008803D5">
        <w:t>pasienten</w:t>
      </w:r>
      <w:r>
        <w:t xml:space="preserve"> mot </w:t>
      </w:r>
      <w:proofErr w:type="spellStart"/>
      <w:r>
        <w:t>vedkommende</w:t>
      </w:r>
      <w:r w:rsidR="00F53E61">
        <w:t>s</w:t>
      </w:r>
      <w:proofErr w:type="spellEnd"/>
      <w:r w:rsidR="008803D5">
        <w:t xml:space="preserve"> vilje. Dermed er det avdelingens oppgave å se til at pasienten ikke gis mulighet til å rømme.</w:t>
      </w:r>
      <w:r w:rsidR="00DA5BF4">
        <w:t xml:space="preserve">  Det betyr at institusjonen har anledning til å holde pasienten tilbake ved tvang</w:t>
      </w:r>
      <w:r w:rsidR="002158F3">
        <w:t>, også</w:t>
      </w:r>
      <w:r w:rsidR="00DA5BF4">
        <w:t xml:space="preserve"> gjennom </w:t>
      </w:r>
      <w:r w:rsidR="00264CF6">
        <w:t xml:space="preserve">å </w:t>
      </w:r>
      <w:r w:rsidR="00DA5BF4">
        <w:t>fysisk holde på pasienten</w:t>
      </w:r>
      <w:r>
        <w:t xml:space="preserve"> eller stenge pasienten inne</w:t>
      </w:r>
      <w:r w:rsidR="00F53E61">
        <w:t>.</w:t>
      </w:r>
      <w:r w:rsidR="00FF5DF7">
        <w:t xml:space="preserve"> </w:t>
      </w:r>
    </w:p>
    <w:p w14:paraId="6B8D3718" w14:textId="77777777" w:rsidR="001F5D20" w:rsidRDefault="001F5D20" w:rsidP="001F5D20">
      <w:pPr>
        <w:pStyle w:val="Default"/>
      </w:pPr>
    </w:p>
    <w:p w14:paraId="656E9389" w14:textId="3E556737" w:rsidR="00EA11A1" w:rsidRDefault="00FF5DF7" w:rsidP="008803D5">
      <w:r>
        <w:t>Formålet med tvangsbruken er «undersøkelse og tilrettelegging av behandling». Tvang</w:t>
      </w:r>
      <w:r w:rsidR="006F6CE4">
        <w:t>smidler</w:t>
      </w:r>
      <w:r>
        <w:t xml:space="preserve"> kan da bare brukes når innleggelsen kan ha en positiv virkning på </w:t>
      </w:r>
      <w:proofErr w:type="spellStart"/>
      <w:r>
        <w:t>vedkommendes</w:t>
      </w:r>
      <w:proofErr w:type="spellEnd"/>
      <w:r>
        <w:t xml:space="preserve"> behandlingssituasjon.</w:t>
      </w:r>
    </w:p>
    <w:p w14:paraId="12E19A79" w14:textId="234244DF" w:rsidR="005F7233" w:rsidRPr="008937E3" w:rsidRDefault="00EA11A1" w:rsidP="005F7233">
      <w:pPr>
        <w:rPr>
          <w:rFonts w:cstheme="minorHAnsi"/>
          <w:sz w:val="24"/>
          <w:szCs w:val="24"/>
        </w:rPr>
      </w:pPr>
      <w:r>
        <w:t>Tvang</w:t>
      </w:r>
      <w:r w:rsidR="006F6CE4">
        <w:t>smidler</w:t>
      </w:r>
      <w:r>
        <w:t xml:space="preserve"> og restriksjoner skal innskrenkes til det strengt nødvendige, og det skal så langt det er mulig tas hensyn til pasient og brukers syn på slike tiltak. Det kan bare benyttes tiltak som gir en så </w:t>
      </w:r>
      <w:r>
        <w:lastRenderedPageBreak/>
        <w:t>gunstig virkning at det klart oppveier ulempene med tiltaket.</w:t>
      </w:r>
      <w:r w:rsidR="008937E3">
        <w:rPr>
          <w:rFonts w:cstheme="minorHAnsi"/>
          <w:sz w:val="24"/>
          <w:szCs w:val="24"/>
        </w:rPr>
        <w:t xml:space="preserve"> </w:t>
      </w:r>
      <w:r w:rsidR="00FF5DF7" w:rsidRPr="00350A46">
        <w:rPr>
          <w:bCs/>
        </w:rPr>
        <w:t>Det inn</w:t>
      </w:r>
      <w:r w:rsidR="00F90517">
        <w:rPr>
          <w:bCs/>
        </w:rPr>
        <w:t>e</w:t>
      </w:r>
      <w:r w:rsidR="00FF5DF7" w:rsidRPr="00350A46">
        <w:rPr>
          <w:bCs/>
        </w:rPr>
        <w:t>bærer</w:t>
      </w:r>
      <w:r w:rsidR="00F53E61">
        <w:rPr>
          <w:bCs/>
        </w:rPr>
        <w:t xml:space="preserve"> </w:t>
      </w:r>
      <w:r w:rsidR="008803D5" w:rsidRPr="00350A46">
        <w:t>å hindre nye rusinntak</w:t>
      </w:r>
      <w:r w:rsidR="008803D5" w:rsidRPr="00EA11A1">
        <w:t xml:space="preserve"> som</w:t>
      </w:r>
      <w:r w:rsidR="008803D5">
        <w:t xml:space="preserve"> utgjør en </w:t>
      </w:r>
      <w:r w:rsidR="00264CF6">
        <w:t xml:space="preserve">fare </w:t>
      </w:r>
      <w:r w:rsidR="008803D5">
        <w:t>for liv og helse</w:t>
      </w:r>
      <w:r w:rsidR="000F1267">
        <w:t>,</w:t>
      </w:r>
      <w:r w:rsidR="00264CF6">
        <w:t xml:space="preserve"> </w:t>
      </w:r>
      <w:r w:rsidR="001F5D20">
        <w:t>og</w:t>
      </w:r>
      <w:r w:rsidR="008803D5">
        <w:t xml:space="preserve"> </w:t>
      </w:r>
      <w:r w:rsidR="005F7233">
        <w:t>å hindre fremtidig skade.</w:t>
      </w:r>
    </w:p>
    <w:p w14:paraId="513B7990" w14:textId="7114CC57" w:rsidR="008803D5" w:rsidRDefault="00A16D3B" w:rsidP="008803D5">
      <w:r>
        <w:t>Nye rusinntak medfører i praksis</w:t>
      </w:r>
      <w:r w:rsidR="008803D5">
        <w:t xml:space="preserve"> fare for at man </w:t>
      </w:r>
      <w:r w:rsidR="008803D5" w:rsidRPr="009941D5">
        <w:rPr>
          <w:u w:val="single"/>
        </w:rPr>
        <w:t>ikke</w:t>
      </w:r>
      <w:r w:rsidR="008803D5">
        <w:t xml:space="preserve"> kommer i posisjon </w:t>
      </w:r>
      <w:r w:rsidR="001F5D20">
        <w:t>til</w:t>
      </w:r>
      <w:r w:rsidR="008803D5">
        <w:t xml:space="preserve"> å få pasienten til å forstå alvorligheten i situasjonen som førte til </w:t>
      </w:r>
      <w:r w:rsidR="00FF5DF7">
        <w:t>tilbakeholdelse i institusjon uten eget samtykke.</w:t>
      </w:r>
      <w:r w:rsidR="00FB21D4">
        <w:t xml:space="preserve"> Dermed kommer </w:t>
      </w:r>
      <w:r w:rsidR="000F1267">
        <w:t>man</w:t>
      </w:r>
      <w:r w:rsidR="00FB21D4">
        <w:t xml:space="preserve"> ikke i posisjon for m</w:t>
      </w:r>
      <w:r w:rsidR="003636FB">
        <w:t>otivasjon</w:t>
      </w:r>
      <w:r w:rsidR="000F1267">
        <w:t>sarbeid</w:t>
      </w:r>
      <w:r w:rsidR="003636FB">
        <w:t xml:space="preserve">. </w:t>
      </w:r>
      <w:r w:rsidR="005F7233" w:rsidDel="00C00C99">
        <w:t xml:space="preserve"> </w:t>
      </w:r>
    </w:p>
    <w:p w14:paraId="71B3756E" w14:textId="77777777" w:rsidR="000F1267" w:rsidRDefault="000F1267" w:rsidP="008803D5"/>
    <w:p w14:paraId="0CAD014A" w14:textId="25D9D534" w:rsidR="000F1267" w:rsidRPr="00350A46" w:rsidRDefault="000F1267" w:rsidP="00350A46">
      <w:pPr>
        <w:pStyle w:val="Listeavsnitt"/>
        <w:numPr>
          <w:ilvl w:val="0"/>
          <w:numId w:val="3"/>
        </w:numPr>
        <w:rPr>
          <w:b/>
        </w:rPr>
      </w:pPr>
      <w:r w:rsidRPr="00350A46">
        <w:rPr>
          <w:b/>
        </w:rPr>
        <w:t>Utagering:</w:t>
      </w:r>
    </w:p>
    <w:p w14:paraId="64171EF7" w14:textId="77777777" w:rsidR="008803D5" w:rsidRDefault="008803D5" w:rsidP="008803D5">
      <w:r>
        <w:t xml:space="preserve">Ansatte som jobber ved tvangsenheten skal ha kompetanse </w:t>
      </w:r>
      <w:r w:rsidR="000F1267">
        <w:t>til</w:t>
      </w:r>
      <w:r>
        <w:t xml:space="preserve"> å ivareta utagerende pasienter. </w:t>
      </w:r>
    </w:p>
    <w:p w14:paraId="660BD494" w14:textId="77777777" w:rsidR="00C609D9" w:rsidRDefault="00C609D9" w:rsidP="008803D5">
      <w:r>
        <w:t>Ansatte skal ha god</w:t>
      </w:r>
      <w:r w:rsidRPr="00454D4A">
        <w:t xml:space="preserve"> kunnskap og ferdigheter i konflikthåndtering</w:t>
      </w:r>
      <w:r>
        <w:t>.</w:t>
      </w:r>
    </w:p>
    <w:p w14:paraId="6EE70C5A" w14:textId="77777777" w:rsidR="00C609D9" w:rsidRDefault="000F1267" w:rsidP="008803D5">
      <w:r>
        <w:t xml:space="preserve">Ansatte skal </w:t>
      </w:r>
      <w:r w:rsidR="00C609D9">
        <w:t xml:space="preserve">alltid </w:t>
      </w:r>
      <w:r>
        <w:t xml:space="preserve">ivareta egen sikkerhet. </w:t>
      </w:r>
    </w:p>
    <w:p w14:paraId="7B333B7A" w14:textId="5D275510" w:rsidR="00C609D9" w:rsidRDefault="008803D5" w:rsidP="008803D5">
      <w:r>
        <w:t>Ansatte ska</w:t>
      </w:r>
      <w:r w:rsidR="00C609D9">
        <w:t>l derved blant annet</w:t>
      </w:r>
      <w:r w:rsidR="000F1267">
        <w:t xml:space="preserve"> vurdere</w:t>
      </w:r>
      <w:r>
        <w:t xml:space="preserve"> å trekke seg ti</w:t>
      </w:r>
      <w:r w:rsidR="009941D5">
        <w:t>lbake ved utrygge situasjoner</w:t>
      </w:r>
      <w:r>
        <w:t>. Med dette forstås å holde god avstand fra pasienten når det vurderes nødvendig.</w:t>
      </w:r>
      <w:r w:rsidR="00D5535D">
        <w:t xml:space="preserve"> Kortvarig fastholding kan være et annet eksempel på nødvendig tiltak ved utrygge situasjoner.</w:t>
      </w:r>
    </w:p>
    <w:p w14:paraId="777DAFA7" w14:textId="77777777" w:rsidR="002158F3" w:rsidRDefault="002158F3" w:rsidP="008803D5"/>
    <w:p w14:paraId="2BC88F15" w14:textId="7F32715F" w:rsidR="002158F3" w:rsidRPr="00350A46" w:rsidRDefault="002158F3" w:rsidP="00350A46">
      <w:pPr>
        <w:pStyle w:val="Listeavsnitt"/>
        <w:numPr>
          <w:ilvl w:val="0"/>
          <w:numId w:val="3"/>
        </w:numPr>
        <w:rPr>
          <w:b/>
        </w:rPr>
      </w:pPr>
      <w:r w:rsidRPr="00350A46">
        <w:rPr>
          <w:b/>
        </w:rPr>
        <w:t>Tvang i nødsit</w:t>
      </w:r>
      <w:r w:rsidR="00590FF4" w:rsidRPr="00350A46">
        <w:rPr>
          <w:b/>
        </w:rPr>
        <w:t>u</w:t>
      </w:r>
      <w:r w:rsidRPr="00350A46">
        <w:rPr>
          <w:b/>
        </w:rPr>
        <w:t xml:space="preserve">asjoner:  </w:t>
      </w:r>
    </w:p>
    <w:p w14:paraId="4374C1A6" w14:textId="050BB549" w:rsidR="002158F3" w:rsidRDefault="00D5535D" w:rsidP="008803D5">
      <w:r>
        <w:t xml:space="preserve">Ansatte kan bruke </w:t>
      </w:r>
      <w:r w:rsidR="00DE49E4">
        <w:t xml:space="preserve">ytterligere </w:t>
      </w:r>
      <w:r>
        <w:t xml:space="preserve">fysisk makt med begrunnelse i </w:t>
      </w:r>
      <w:r w:rsidR="002158F3">
        <w:t>nødverge</w:t>
      </w:r>
      <w:r w:rsidR="00590FF4">
        <w:t xml:space="preserve"> </w:t>
      </w:r>
      <w:r w:rsidR="002158F3">
        <w:t xml:space="preserve">(pasienten er i fare for andre) </w:t>
      </w:r>
      <w:r>
        <w:t xml:space="preserve">respektive </w:t>
      </w:r>
      <w:r w:rsidR="002158F3">
        <w:t>nødrett</w:t>
      </w:r>
      <w:r w:rsidR="00590FF4">
        <w:t xml:space="preserve"> </w:t>
      </w:r>
      <w:r w:rsidR="002158F3">
        <w:t>(pasient er til fare for seg selv)</w:t>
      </w:r>
      <w:r w:rsidR="00590FF4">
        <w:t>.</w:t>
      </w:r>
      <w:r w:rsidR="002158F3">
        <w:t xml:space="preserve"> </w:t>
      </w:r>
      <w:r w:rsidR="00DE7C2E">
        <w:t xml:space="preserve">Tvangsbruken må ikke overstige det som er nødvendig for å avverge skaden og skal gjennomføres på en mest mulig skånsom og omsorgsfull måte. </w:t>
      </w:r>
      <w:r w:rsidR="00DE49E4">
        <w:t>Ved bruk av for eksempel k</w:t>
      </w:r>
      <w:r w:rsidR="00DE7C2E">
        <w:t>ortvarig fastholding</w:t>
      </w:r>
      <w:r w:rsidR="00DE49E4">
        <w:t>, så</w:t>
      </w:r>
      <w:r w:rsidR="00DE7C2E">
        <w:t xml:space="preserve"> skal </w:t>
      </w:r>
      <w:r w:rsidR="00DE49E4">
        <w:t xml:space="preserve">denne </w:t>
      </w:r>
      <w:r w:rsidR="00DE7C2E">
        <w:t>opphøre straks skaden eller faren er avverget.</w:t>
      </w:r>
    </w:p>
    <w:p w14:paraId="7135D1E5" w14:textId="77777777" w:rsidR="008803D5" w:rsidRDefault="008803D5" w:rsidP="008803D5"/>
    <w:p w14:paraId="38C2412B" w14:textId="6973E8C5" w:rsidR="008803D5" w:rsidRPr="003636FB" w:rsidRDefault="00EA11A1" w:rsidP="008803D5">
      <w:pPr>
        <w:rPr>
          <w:b/>
        </w:rPr>
      </w:pPr>
      <w:r>
        <w:rPr>
          <w:b/>
        </w:rPr>
        <w:t>6. T</w:t>
      </w:r>
      <w:r w:rsidR="008803D5" w:rsidRPr="003636FB">
        <w:rPr>
          <w:b/>
        </w:rPr>
        <w:t xml:space="preserve">idsaspekt og </w:t>
      </w:r>
      <w:r w:rsidR="001F5D20">
        <w:rPr>
          <w:b/>
        </w:rPr>
        <w:t>kate</w:t>
      </w:r>
      <w:r>
        <w:rPr>
          <w:b/>
        </w:rPr>
        <w:t>gorisering av nivå</w:t>
      </w:r>
      <w:r w:rsidR="008803D5" w:rsidRPr="003636FB">
        <w:rPr>
          <w:b/>
        </w:rPr>
        <w:t xml:space="preserve">: </w:t>
      </w:r>
    </w:p>
    <w:p w14:paraId="0F4AD595" w14:textId="6E780968" w:rsidR="00DE7C2E" w:rsidRDefault="003636FB" w:rsidP="008803D5">
      <w:r>
        <w:t>Vedtak om tilbakehold</w:t>
      </w:r>
      <w:r w:rsidR="008803D5">
        <w:t xml:space="preserve"> har varighet på</w:t>
      </w:r>
      <w:r w:rsidR="00FF5DF7">
        <w:t xml:space="preserve"> opptil</w:t>
      </w:r>
      <w:r w:rsidR="00EF7AD4">
        <w:t xml:space="preserve"> </w:t>
      </w:r>
      <w:r w:rsidR="008803D5">
        <w:t xml:space="preserve">tre måneder. </w:t>
      </w:r>
    </w:p>
    <w:p w14:paraId="44F06921" w14:textId="77777777" w:rsidR="003636FB" w:rsidRDefault="003636FB" w:rsidP="003636FB">
      <w:pPr>
        <w:rPr>
          <w:rFonts w:ascii="Calibri" w:hAnsi="Calibri" w:cs="Calibri"/>
          <w:color w:val="000000"/>
          <w:shd w:val="clear" w:color="auto" w:fill="FFFFFF"/>
        </w:rPr>
      </w:pPr>
    </w:p>
    <w:p w14:paraId="55FDF313" w14:textId="0E0DDE0F" w:rsidR="003636FB" w:rsidRPr="003636FB" w:rsidRDefault="003636FB" w:rsidP="008803D5">
      <w:pPr>
        <w:rPr>
          <w:rFonts w:ascii="Calibri" w:hAnsi="Calibri" w:cs="Calibri"/>
          <w:b/>
          <w:color w:val="000000"/>
          <w:shd w:val="clear" w:color="auto" w:fill="FFFFFF"/>
        </w:rPr>
      </w:pPr>
      <w:r w:rsidRPr="003636FB">
        <w:rPr>
          <w:rFonts w:ascii="Calibri" w:hAnsi="Calibri" w:cs="Calibri"/>
          <w:b/>
          <w:color w:val="000000"/>
          <w:shd w:val="clear" w:color="auto" w:fill="FFFFFF"/>
        </w:rPr>
        <w:t>«Rødt, gult og grønt nivå»</w:t>
      </w:r>
    </w:p>
    <w:p w14:paraId="0A6302D0" w14:textId="77777777" w:rsidR="008803D5" w:rsidRDefault="008803D5" w:rsidP="008803D5">
      <w:pPr>
        <w:rPr>
          <w:rFonts w:ascii="Calibri" w:hAnsi="Calibri" w:cs="Calibri"/>
          <w:color w:val="000000"/>
          <w:shd w:val="clear" w:color="auto" w:fill="FFFFFF"/>
        </w:rPr>
      </w:pPr>
      <w:r>
        <w:t>Tvangsrådet i ARA anbefaler at</w:t>
      </w:r>
      <w:r>
        <w:rPr>
          <w:rFonts w:ascii="Calibri" w:hAnsi="Calibri" w:cs="Calibri"/>
          <w:color w:val="000000"/>
          <w:shd w:val="clear" w:color="auto" w:fill="FFFFFF"/>
        </w:rPr>
        <w:t xml:space="preserve"> man opererer med en gradering av tilbakehold (rødt/gult/grønt) vurdert ut fra pasientens tilstand, rusmestring og fare for rømning. Graderingen er ikke lineær, da pasienten vil kunne bevege seg mellom tilstander, rusmestring og rømningsfare gjennom hele forløpet.</w:t>
      </w:r>
    </w:p>
    <w:p w14:paraId="136F900D" w14:textId="77777777" w:rsidR="00FF5DF7" w:rsidRDefault="00FF5DF7" w:rsidP="008803D5">
      <w:pPr>
        <w:rPr>
          <w:rFonts w:ascii="Calibri" w:hAnsi="Calibri" w:cs="Calibri"/>
          <w:color w:val="000000"/>
          <w:shd w:val="clear" w:color="auto" w:fill="FFFFFF"/>
        </w:rPr>
      </w:pPr>
    </w:p>
    <w:p w14:paraId="39F5F5D3" w14:textId="77777777" w:rsidR="000B7D39" w:rsidRDefault="000B7D39" w:rsidP="008803D5">
      <w:pPr>
        <w:rPr>
          <w:rFonts w:ascii="Calibri" w:hAnsi="Calibri" w:cs="Calibri"/>
          <w:color w:val="000000"/>
          <w:shd w:val="clear" w:color="auto" w:fill="FFFFFF"/>
        </w:rPr>
      </w:pPr>
      <w:r>
        <w:rPr>
          <w:rFonts w:ascii="Calibri" w:hAnsi="Calibri" w:cs="Calibri"/>
          <w:color w:val="000000"/>
          <w:shd w:val="clear" w:color="auto" w:fill="FFFFFF"/>
        </w:rPr>
        <w:t xml:space="preserve">En nyinnlagt pasient bør av praktiske hensyn graderes </w:t>
      </w:r>
      <w:r w:rsidRPr="003636FB">
        <w:rPr>
          <w:rFonts w:ascii="Calibri" w:hAnsi="Calibri" w:cs="Calibri"/>
          <w:b/>
          <w:color w:val="000000"/>
          <w:shd w:val="clear" w:color="auto" w:fill="FFFFFF"/>
        </w:rPr>
        <w:t>«rødt nivå»</w:t>
      </w:r>
      <w:r>
        <w:rPr>
          <w:rFonts w:ascii="Calibri" w:hAnsi="Calibri" w:cs="Calibri"/>
          <w:color w:val="000000"/>
          <w:shd w:val="clear" w:color="auto" w:fill="FFFFFF"/>
        </w:rPr>
        <w:t xml:space="preserve"> med overhengende fare for rømning, rusatferd og overdose. Fokus på tiltak for å forhindre rømning.</w:t>
      </w:r>
      <w:r w:rsidR="005D3186">
        <w:rPr>
          <w:rFonts w:ascii="Calibri" w:hAnsi="Calibri" w:cs="Calibri"/>
          <w:color w:val="000000"/>
          <w:shd w:val="clear" w:color="auto" w:fill="FFFFFF"/>
        </w:rPr>
        <w:t xml:space="preserve"> Rømningsfor</w:t>
      </w:r>
      <w:r w:rsidR="00877649">
        <w:rPr>
          <w:rFonts w:ascii="Calibri" w:hAnsi="Calibri" w:cs="Calibri"/>
          <w:color w:val="000000"/>
          <w:shd w:val="clear" w:color="auto" w:fill="FFFFFF"/>
        </w:rPr>
        <w:t>søk</w:t>
      </w:r>
      <w:r w:rsidR="005D3186">
        <w:rPr>
          <w:rFonts w:ascii="Calibri" w:hAnsi="Calibri" w:cs="Calibri"/>
          <w:color w:val="000000"/>
          <w:shd w:val="clear" w:color="auto" w:fill="FFFFFF"/>
        </w:rPr>
        <w:t xml:space="preserve"> oppfattes å være sannsynlig og begrensende tiltak må iverksettes (</w:t>
      </w:r>
      <w:r w:rsidR="003636FB">
        <w:rPr>
          <w:rFonts w:ascii="Calibri" w:hAnsi="Calibri" w:cs="Calibri"/>
          <w:color w:val="000000"/>
          <w:shd w:val="clear" w:color="auto" w:fill="FFFFFF"/>
        </w:rPr>
        <w:t xml:space="preserve">begrense </w:t>
      </w:r>
      <w:r w:rsidR="005D3186">
        <w:rPr>
          <w:rFonts w:ascii="Calibri" w:hAnsi="Calibri" w:cs="Calibri"/>
          <w:color w:val="000000"/>
          <w:shd w:val="clear" w:color="auto" w:fill="FFFFFF"/>
        </w:rPr>
        <w:t xml:space="preserve">utgang, </w:t>
      </w:r>
      <w:r w:rsidR="003636FB">
        <w:rPr>
          <w:rFonts w:ascii="Calibri" w:hAnsi="Calibri" w:cs="Calibri"/>
          <w:color w:val="000000"/>
          <w:shd w:val="clear" w:color="auto" w:fill="FFFFFF"/>
        </w:rPr>
        <w:t xml:space="preserve">tilby </w:t>
      </w:r>
      <w:r w:rsidR="005D3186">
        <w:rPr>
          <w:rFonts w:ascii="Calibri" w:hAnsi="Calibri" w:cs="Calibri"/>
          <w:color w:val="000000"/>
          <w:shd w:val="clear" w:color="auto" w:fill="FFFFFF"/>
        </w:rPr>
        <w:t xml:space="preserve">nikotinplaster, </w:t>
      </w:r>
      <w:r w:rsidR="003636FB">
        <w:rPr>
          <w:rFonts w:ascii="Calibri" w:hAnsi="Calibri" w:cs="Calibri"/>
          <w:color w:val="000000"/>
          <w:shd w:val="clear" w:color="auto" w:fill="FFFFFF"/>
        </w:rPr>
        <w:t xml:space="preserve">begrense </w:t>
      </w:r>
      <w:r w:rsidR="005D3186">
        <w:rPr>
          <w:rFonts w:ascii="Calibri" w:hAnsi="Calibri" w:cs="Calibri"/>
          <w:color w:val="000000"/>
          <w:shd w:val="clear" w:color="auto" w:fill="FFFFFF"/>
        </w:rPr>
        <w:t xml:space="preserve">besøk </w:t>
      </w:r>
      <w:r w:rsidR="003636FB">
        <w:rPr>
          <w:rFonts w:ascii="Calibri" w:hAnsi="Calibri" w:cs="Calibri"/>
          <w:color w:val="000000"/>
          <w:shd w:val="clear" w:color="auto" w:fill="FFFFFF"/>
        </w:rPr>
        <w:t>etc.</w:t>
      </w:r>
      <w:r w:rsidR="005D3186">
        <w:rPr>
          <w:rFonts w:ascii="Calibri" w:hAnsi="Calibri" w:cs="Calibri"/>
          <w:color w:val="000000"/>
          <w:shd w:val="clear" w:color="auto" w:fill="FFFFFF"/>
        </w:rPr>
        <w:t>).</w:t>
      </w:r>
    </w:p>
    <w:p w14:paraId="2BE474D9" w14:textId="77777777" w:rsidR="005D3186" w:rsidRDefault="005D3186" w:rsidP="008803D5">
      <w:pPr>
        <w:rPr>
          <w:rFonts w:ascii="Calibri" w:hAnsi="Calibri" w:cs="Calibri"/>
          <w:color w:val="000000"/>
          <w:shd w:val="clear" w:color="auto" w:fill="FFFFFF"/>
        </w:rPr>
      </w:pPr>
    </w:p>
    <w:p w14:paraId="76637076" w14:textId="77777777" w:rsidR="000B7D39" w:rsidRDefault="005D3186" w:rsidP="008803D5">
      <w:pPr>
        <w:rPr>
          <w:rFonts w:ascii="Calibri" w:hAnsi="Calibri" w:cs="Calibri"/>
          <w:color w:val="000000"/>
          <w:shd w:val="clear" w:color="auto" w:fill="FFFFFF"/>
        </w:rPr>
      </w:pPr>
      <w:r>
        <w:rPr>
          <w:rFonts w:ascii="Calibri" w:hAnsi="Calibri" w:cs="Calibri"/>
          <w:color w:val="000000"/>
          <w:shd w:val="clear" w:color="auto" w:fill="FFFFFF"/>
        </w:rPr>
        <w:t xml:space="preserve">Etter en viss </w:t>
      </w:r>
      <w:r w:rsidR="003636FB">
        <w:rPr>
          <w:rFonts w:ascii="Calibri" w:hAnsi="Calibri" w:cs="Calibri"/>
          <w:color w:val="000000"/>
          <w:shd w:val="clear" w:color="auto" w:fill="FFFFFF"/>
        </w:rPr>
        <w:t>observasjons</w:t>
      </w:r>
      <w:r>
        <w:rPr>
          <w:rFonts w:ascii="Calibri" w:hAnsi="Calibri" w:cs="Calibri"/>
          <w:color w:val="000000"/>
          <w:shd w:val="clear" w:color="auto" w:fill="FFFFFF"/>
        </w:rPr>
        <w:t xml:space="preserve">tid bør pasienten kartlegges og vurderes med tanke på overgang til </w:t>
      </w:r>
      <w:r w:rsidRPr="003636FB">
        <w:rPr>
          <w:rFonts w:ascii="Calibri" w:hAnsi="Calibri" w:cs="Calibri"/>
          <w:b/>
          <w:color w:val="000000"/>
          <w:shd w:val="clear" w:color="auto" w:fill="FFFFFF"/>
        </w:rPr>
        <w:t>«gult nivå»,</w:t>
      </w:r>
      <w:r w:rsidR="003636FB">
        <w:rPr>
          <w:rFonts w:ascii="Calibri" w:hAnsi="Calibri" w:cs="Calibri"/>
          <w:color w:val="000000"/>
          <w:shd w:val="clear" w:color="auto" w:fill="FFFFFF"/>
        </w:rPr>
        <w:t xml:space="preserve"> hvor fokus gradvis justeres</w:t>
      </w:r>
      <w:r>
        <w:rPr>
          <w:rFonts w:ascii="Calibri" w:hAnsi="Calibri" w:cs="Calibri"/>
          <w:color w:val="000000"/>
          <w:shd w:val="clear" w:color="auto" w:fill="FFFFFF"/>
        </w:rPr>
        <w:t xml:space="preserve"> fra tilbakehold </w:t>
      </w:r>
      <w:r w:rsidR="003636FB">
        <w:rPr>
          <w:rFonts w:ascii="Calibri" w:hAnsi="Calibri" w:cs="Calibri"/>
          <w:color w:val="000000"/>
          <w:shd w:val="clear" w:color="auto" w:fill="FFFFFF"/>
        </w:rPr>
        <w:t xml:space="preserve">og forhindre rømning, </w:t>
      </w:r>
      <w:r>
        <w:rPr>
          <w:rFonts w:ascii="Calibri" w:hAnsi="Calibri" w:cs="Calibri"/>
          <w:color w:val="000000"/>
          <w:shd w:val="clear" w:color="auto" w:fill="FFFFFF"/>
        </w:rPr>
        <w:t xml:space="preserve">til å utforske pasientens behandlingsmotivasjon og behandlingsmuligheter. Forsøk på utgang med følge kan utprøves med </w:t>
      </w:r>
      <w:r w:rsidR="007F5E35">
        <w:rPr>
          <w:rFonts w:ascii="Calibri" w:hAnsi="Calibri" w:cs="Calibri"/>
          <w:color w:val="000000"/>
          <w:shd w:val="clear" w:color="auto" w:fill="FFFFFF"/>
        </w:rPr>
        <w:t>tilbake</w:t>
      </w:r>
      <w:r w:rsidR="009941D5">
        <w:rPr>
          <w:rFonts w:ascii="Calibri" w:hAnsi="Calibri" w:cs="Calibri"/>
          <w:color w:val="000000"/>
          <w:shd w:val="clear" w:color="auto" w:fill="FFFFFF"/>
        </w:rPr>
        <w:t>føring</w:t>
      </w:r>
      <w:r w:rsidR="007F5E35">
        <w:rPr>
          <w:rFonts w:ascii="Calibri" w:hAnsi="Calibri" w:cs="Calibri"/>
          <w:color w:val="000000"/>
          <w:shd w:val="clear" w:color="auto" w:fill="FFFFFF"/>
        </w:rPr>
        <w:t xml:space="preserve"> </w:t>
      </w:r>
      <w:r>
        <w:rPr>
          <w:rFonts w:ascii="Calibri" w:hAnsi="Calibri" w:cs="Calibri"/>
          <w:color w:val="000000"/>
          <w:shd w:val="clear" w:color="auto" w:fill="FFFFFF"/>
        </w:rPr>
        <w:t>til «rødt nivå» i et gitt tidsnivå om pasienten rømmer.</w:t>
      </w:r>
    </w:p>
    <w:p w14:paraId="5FDE5195" w14:textId="77777777" w:rsidR="007F5E35" w:rsidRDefault="007F5E35" w:rsidP="008803D5">
      <w:pPr>
        <w:rPr>
          <w:rFonts w:ascii="Calibri" w:hAnsi="Calibri" w:cs="Calibri"/>
          <w:color w:val="000000"/>
          <w:shd w:val="clear" w:color="auto" w:fill="FFFFFF"/>
        </w:rPr>
      </w:pPr>
    </w:p>
    <w:p w14:paraId="6EEC9E90" w14:textId="0BB1B2CA" w:rsidR="000B7D39" w:rsidRDefault="005D3186" w:rsidP="008803D5">
      <w:pPr>
        <w:rPr>
          <w:rFonts w:ascii="Calibri" w:hAnsi="Calibri" w:cs="Calibri"/>
          <w:color w:val="000000"/>
          <w:shd w:val="clear" w:color="auto" w:fill="FFFFFF"/>
        </w:rPr>
      </w:pPr>
      <w:r>
        <w:rPr>
          <w:rFonts w:ascii="Calibri" w:hAnsi="Calibri" w:cs="Calibri"/>
          <w:color w:val="000000"/>
          <w:shd w:val="clear" w:color="auto" w:fill="FFFFFF"/>
        </w:rPr>
        <w:t>I avslutningen av oppholdet vil pasienter som hovedregel v</w:t>
      </w:r>
      <w:r w:rsidR="000D6628">
        <w:rPr>
          <w:rFonts w:ascii="Calibri" w:hAnsi="Calibri" w:cs="Calibri"/>
          <w:color w:val="000000"/>
          <w:shd w:val="clear" w:color="auto" w:fill="FFFFFF"/>
        </w:rPr>
        <w:t>ære motivert til behandling. V</w:t>
      </w:r>
      <w:r>
        <w:rPr>
          <w:rFonts w:ascii="Calibri" w:hAnsi="Calibri" w:cs="Calibri"/>
          <w:color w:val="000000"/>
          <w:shd w:val="clear" w:color="auto" w:fill="FFFFFF"/>
        </w:rPr>
        <w:t xml:space="preserve">ed en overføring til </w:t>
      </w:r>
      <w:r w:rsidRPr="007F5E35">
        <w:rPr>
          <w:rFonts w:ascii="Calibri" w:hAnsi="Calibri" w:cs="Calibri"/>
          <w:b/>
          <w:color w:val="000000"/>
          <w:shd w:val="clear" w:color="auto" w:fill="FFFFFF"/>
        </w:rPr>
        <w:t>«grønt nivå»</w:t>
      </w:r>
      <w:r>
        <w:rPr>
          <w:rFonts w:ascii="Calibri" w:hAnsi="Calibri" w:cs="Calibri"/>
          <w:color w:val="000000"/>
          <w:shd w:val="clear" w:color="auto" w:fill="FFFFFF"/>
        </w:rPr>
        <w:t xml:space="preserve"> signaliseres lav rømningsfare, hvor behandlingsmotivasjon er til stede</w:t>
      </w:r>
      <w:r w:rsidR="007F5E35">
        <w:rPr>
          <w:rFonts w:ascii="Calibri" w:hAnsi="Calibri" w:cs="Calibri"/>
          <w:color w:val="000000"/>
          <w:shd w:val="clear" w:color="auto" w:fill="FFFFFF"/>
        </w:rPr>
        <w:t>. Pasienten kan delta i behandling sammen med frivillig innlagte pasienter og</w:t>
      </w:r>
      <w:r>
        <w:rPr>
          <w:rFonts w:ascii="Calibri" w:hAnsi="Calibri" w:cs="Calibri"/>
          <w:color w:val="000000"/>
          <w:shd w:val="clear" w:color="auto" w:fill="FFFFFF"/>
        </w:rPr>
        <w:t xml:space="preserve"> forbedredes på en hverdag </w:t>
      </w:r>
      <w:r w:rsidR="00FF5DF7">
        <w:rPr>
          <w:rFonts w:ascii="Calibri" w:hAnsi="Calibri" w:cs="Calibri"/>
          <w:color w:val="000000"/>
          <w:shd w:val="clear" w:color="auto" w:fill="FFFFFF"/>
        </w:rPr>
        <w:t>utenfor institusjon</w:t>
      </w:r>
      <w:r w:rsidR="00252891">
        <w:rPr>
          <w:rFonts w:ascii="Calibri" w:hAnsi="Calibri" w:cs="Calibri"/>
          <w:color w:val="000000"/>
          <w:shd w:val="clear" w:color="auto" w:fill="FFFFFF"/>
        </w:rPr>
        <w:t>en</w:t>
      </w:r>
      <w:r>
        <w:rPr>
          <w:rFonts w:ascii="Calibri" w:hAnsi="Calibri" w:cs="Calibri"/>
          <w:color w:val="000000"/>
          <w:shd w:val="clear" w:color="auto" w:fill="FFFFFF"/>
        </w:rPr>
        <w:t>.</w:t>
      </w:r>
    </w:p>
    <w:p w14:paraId="068BE790" w14:textId="77777777" w:rsidR="00590FF4" w:rsidRDefault="00590FF4" w:rsidP="008803D5">
      <w:pPr>
        <w:rPr>
          <w:b/>
        </w:rPr>
      </w:pPr>
    </w:p>
    <w:p w14:paraId="403F2C7F" w14:textId="53274DBF" w:rsidR="008803D5" w:rsidRPr="00350A46" w:rsidRDefault="00AD5BD6" w:rsidP="00350A46">
      <w:pPr>
        <w:pStyle w:val="Listeavsnitt"/>
        <w:numPr>
          <w:ilvl w:val="0"/>
          <w:numId w:val="3"/>
        </w:numPr>
        <w:rPr>
          <w:b/>
        </w:rPr>
      </w:pPr>
      <w:r w:rsidRPr="00350A46">
        <w:rPr>
          <w:b/>
        </w:rPr>
        <w:t xml:space="preserve">Rømninger: </w:t>
      </w:r>
    </w:p>
    <w:p w14:paraId="529ACBEB" w14:textId="57A51467" w:rsidR="00AD5BD6" w:rsidRPr="004A6D98" w:rsidRDefault="00AD5BD6" w:rsidP="008803D5">
      <w:pPr>
        <w:rPr>
          <w:rFonts w:eastAsia="Times New Roman" w:cstheme="minorHAnsi"/>
          <w:color w:val="333333"/>
          <w:lang w:eastAsia="nb-NO"/>
        </w:rPr>
      </w:pPr>
      <w:r>
        <w:t>Det er høy risiko</w:t>
      </w:r>
      <w:r w:rsidR="00D5535D">
        <w:t xml:space="preserve"> for overdose</w:t>
      </w:r>
      <w:r>
        <w:t xml:space="preserve"> når pasienter </w:t>
      </w:r>
      <w:r w:rsidR="00C62E5C">
        <w:t xml:space="preserve">som </w:t>
      </w:r>
      <w:r w:rsidR="00FF5DF7">
        <w:t>tilbakeholdes i institusjon uten eget samtykke</w:t>
      </w:r>
      <w:r w:rsidR="00252891">
        <w:t xml:space="preserve"> </w:t>
      </w:r>
      <w:r>
        <w:t>rømmer</w:t>
      </w:r>
      <w:r w:rsidR="00C62E5C">
        <w:t>,</w:t>
      </w:r>
      <w:r w:rsidR="00D5535D">
        <w:t xml:space="preserve"> og det kan sås tvil om enheten opprettholder krav om forsvarlige tjenester.</w:t>
      </w:r>
      <w:r>
        <w:t xml:space="preserve"> </w:t>
      </w:r>
    </w:p>
    <w:p w14:paraId="178DD0AA" w14:textId="6DBF19A1" w:rsidR="00AD5BD6" w:rsidRPr="004A6D98" w:rsidRDefault="00252891" w:rsidP="00707622">
      <w:pPr>
        <w:contextualSpacing/>
        <w:rPr>
          <w:rFonts w:eastAsia="Calibri" w:cstheme="minorHAnsi"/>
        </w:rPr>
      </w:pPr>
      <w:r>
        <w:rPr>
          <w:rFonts w:eastAsia="Times New Roman" w:cstheme="minorHAnsi"/>
          <w:color w:val="333333"/>
          <w:lang w:eastAsia="nb-NO"/>
        </w:rPr>
        <w:t>Ved rømn</w:t>
      </w:r>
      <w:r w:rsidR="00D23955" w:rsidRPr="004A6D98">
        <w:rPr>
          <w:rFonts w:eastAsia="Times New Roman" w:cstheme="minorHAnsi"/>
          <w:color w:val="333333"/>
          <w:lang w:eastAsia="nb-NO"/>
        </w:rPr>
        <w:t>ing skal institusjonen straks varsle kommunen og om nødvendig politiet. I samarbeid med kommunen skal institusjonen sette i verk nødvendige tiltak for å tilbakeføre pasienten til institusjonen. Tilbakeføring av pasienten skal skje på en så skånsom måte som mulig.</w:t>
      </w:r>
    </w:p>
    <w:p w14:paraId="368AB884" w14:textId="77777777" w:rsidR="00AD5BD6" w:rsidRDefault="00AD5BD6" w:rsidP="008803D5"/>
    <w:p w14:paraId="02D5609F" w14:textId="450CA1EB" w:rsidR="005D3186" w:rsidRPr="00350A46" w:rsidRDefault="00C62E5C" w:rsidP="00350A46">
      <w:pPr>
        <w:pStyle w:val="Listeavsnitt"/>
        <w:numPr>
          <w:ilvl w:val="0"/>
          <w:numId w:val="3"/>
        </w:numPr>
        <w:rPr>
          <w:b/>
        </w:rPr>
      </w:pPr>
      <w:r w:rsidRPr="00350A46">
        <w:rPr>
          <w:b/>
        </w:rPr>
        <w:lastRenderedPageBreak/>
        <w:t>Konkrete f</w:t>
      </w:r>
      <w:r w:rsidR="005D3186" w:rsidRPr="00350A46">
        <w:rPr>
          <w:b/>
        </w:rPr>
        <w:t>erdigheter hos den ansatte:</w:t>
      </w:r>
    </w:p>
    <w:p w14:paraId="3DA70770" w14:textId="61ACFB6E" w:rsidR="005D3186" w:rsidRDefault="005D3186" w:rsidP="008803D5">
      <w:r>
        <w:t>Alle som jobber ved tvangsenheten skal ha teoretisk og fysisk MAP-opplæring</w:t>
      </w:r>
      <w:r w:rsidR="0044329D">
        <w:t xml:space="preserve">, inkludert simuleringstrening og </w:t>
      </w:r>
      <w:r w:rsidR="007F5E35">
        <w:t xml:space="preserve">individuell veiledning/ </w:t>
      </w:r>
      <w:r w:rsidR="0044329D">
        <w:t>gruppeveiledning</w:t>
      </w:r>
      <w:r>
        <w:t>. Det gis ikke anledning til å reservere seg mot grunnleggende MAP-teknikker som f.eks. kortvarig fastholding.</w:t>
      </w:r>
      <w:r w:rsidR="00252891">
        <w:t xml:space="preserve"> </w:t>
      </w:r>
      <w:r w:rsidR="007F5E35">
        <w:t>Samtidig</w:t>
      </w:r>
      <w:r w:rsidR="00252891">
        <w:t>,</w:t>
      </w:r>
      <w:r w:rsidR="007F5E35">
        <w:t xml:space="preserve"> skal</w:t>
      </w:r>
      <w:r w:rsidR="0044329D">
        <w:t xml:space="preserve"> ansatte </w:t>
      </w:r>
      <w:r w:rsidR="00877649">
        <w:t xml:space="preserve">ikke </w:t>
      </w:r>
      <w:r w:rsidR="007F5E35">
        <w:t>utsette seg for fare utover ervervet</w:t>
      </w:r>
      <w:r w:rsidR="00877649">
        <w:t xml:space="preserve"> kompetansenivå. Alternativer til fysiske </w:t>
      </w:r>
      <w:r w:rsidR="007F5E35">
        <w:t xml:space="preserve">teknikker og </w:t>
      </w:r>
      <w:r w:rsidR="00877649">
        <w:t>tiltak, inklud</w:t>
      </w:r>
      <w:r w:rsidR="007F5E35">
        <w:t>ert vekterassistanse, kan være å</w:t>
      </w:r>
      <w:r w:rsidR="00877649">
        <w:t xml:space="preserve"> trekke seg helt e</w:t>
      </w:r>
      <w:r w:rsidR="007F5E35">
        <w:t>ller delvis tilbake, eventuelt</w:t>
      </w:r>
      <w:r w:rsidR="00877649">
        <w:t xml:space="preserve"> låse pasienten inne inntil mulighet for overføring til et høyere sikkerhetsnivå.</w:t>
      </w:r>
    </w:p>
    <w:p w14:paraId="4BD536BE" w14:textId="77777777" w:rsidR="00877649" w:rsidRDefault="00877649" w:rsidP="008803D5"/>
    <w:p w14:paraId="4DA1F5CF" w14:textId="09EFCC72" w:rsidR="00877649" w:rsidRPr="00350A46" w:rsidRDefault="00877649" w:rsidP="00350A46">
      <w:pPr>
        <w:pStyle w:val="Listeavsnitt"/>
        <w:numPr>
          <w:ilvl w:val="0"/>
          <w:numId w:val="3"/>
        </w:numPr>
        <w:rPr>
          <w:b/>
        </w:rPr>
      </w:pPr>
      <w:r w:rsidRPr="00350A46">
        <w:rPr>
          <w:b/>
        </w:rPr>
        <w:t xml:space="preserve">Dokumentasjon: </w:t>
      </w:r>
    </w:p>
    <w:p w14:paraId="595FD76C" w14:textId="77777777" w:rsidR="008803D5" w:rsidRDefault="00877649" w:rsidP="008803D5">
      <w:r>
        <w:t>D</w:t>
      </w:r>
      <w:r w:rsidR="008803D5">
        <w:t xml:space="preserve">aglig og ukentlig plan med vurderinger vedrørende </w:t>
      </w:r>
      <w:r>
        <w:t>«risikonivå».</w:t>
      </w:r>
    </w:p>
    <w:p w14:paraId="4CD8202D" w14:textId="77777777" w:rsidR="007F5E35" w:rsidRDefault="00877649" w:rsidP="008803D5">
      <w:r>
        <w:t xml:space="preserve">Det anbefales at det lages en frase i DIPS. </w:t>
      </w:r>
    </w:p>
    <w:p w14:paraId="1A57454D" w14:textId="04B62A79" w:rsidR="00877649" w:rsidRDefault="00877649" w:rsidP="008803D5">
      <w:r>
        <w:t>Forslag</w:t>
      </w:r>
      <w:r w:rsidR="009941D5">
        <w:t xml:space="preserve"> til </w:t>
      </w:r>
      <w:r w:rsidR="000D6628">
        <w:t xml:space="preserve">tekst i </w:t>
      </w:r>
      <w:r w:rsidR="009941D5">
        <w:t>frase</w:t>
      </w:r>
      <w:r>
        <w:t>: «Pasienten innvilges/ innvilges ikke utgang i dag/ denne uken. Nikotinplaster/ røykebur/ omgås med andre medpasienter. Besøk etc.</w:t>
      </w:r>
    </w:p>
    <w:p w14:paraId="210A647B" w14:textId="77777777" w:rsidR="00A872F5" w:rsidRDefault="00A872F5" w:rsidP="008803D5"/>
    <w:p w14:paraId="26BD7D6E" w14:textId="17D939EE" w:rsidR="00A872F5" w:rsidRPr="00350A46" w:rsidRDefault="00A872F5" w:rsidP="00350A46">
      <w:pPr>
        <w:pStyle w:val="Listeavsnitt"/>
        <w:numPr>
          <w:ilvl w:val="0"/>
          <w:numId w:val="3"/>
        </w:numPr>
        <w:rPr>
          <w:b/>
        </w:rPr>
      </w:pPr>
      <w:r w:rsidRPr="00350A46">
        <w:rPr>
          <w:b/>
        </w:rPr>
        <w:t xml:space="preserve">Klagemuligheter: </w:t>
      </w:r>
    </w:p>
    <w:p w14:paraId="5F17B775" w14:textId="1858F131" w:rsidR="00A872F5" w:rsidRDefault="00A872F5" w:rsidP="008803D5">
      <w:r>
        <w:t xml:space="preserve">Det er ikke anledning til å skrive ut pasienter uten </w:t>
      </w:r>
      <w:r w:rsidR="009941D5">
        <w:t>dialog med kommune ved</w:t>
      </w:r>
      <w:r w:rsidR="00C62E5C">
        <w:t>rørende</w:t>
      </w:r>
      <w:r w:rsidR="009941D5">
        <w:t xml:space="preserve"> </w:t>
      </w:r>
      <w:r>
        <w:t>opphevelse av vedtak.</w:t>
      </w:r>
      <w:r w:rsidRPr="00A872F5">
        <w:t xml:space="preserve"> </w:t>
      </w:r>
      <w:r>
        <w:t xml:space="preserve">Pasienten kan </w:t>
      </w:r>
      <w:r w:rsidR="009941D5">
        <w:t xml:space="preserve">til enhver tid </w:t>
      </w:r>
      <w:r>
        <w:t>klage på vedtak og behandlingstilbud.</w:t>
      </w:r>
    </w:p>
    <w:p w14:paraId="2BE5F612" w14:textId="77777777" w:rsidR="008803D5" w:rsidRDefault="008803D5" w:rsidP="008803D5"/>
    <w:p w14:paraId="301DDFF7" w14:textId="77777777" w:rsidR="008803D5" w:rsidRDefault="008803D5" w:rsidP="008803D5">
      <w:r>
        <w:t xml:space="preserve">Viser til: </w:t>
      </w:r>
    </w:p>
    <w:p w14:paraId="0525CEE4" w14:textId="77777777" w:rsidR="008803D5" w:rsidRDefault="00894993" w:rsidP="008803D5">
      <w:hyperlink r:id="rId6" w:history="1">
        <w:proofErr w:type="spellStart"/>
        <w:r w:rsidR="008803D5">
          <w:rPr>
            <w:rStyle w:val="Hyperkobling"/>
          </w:rPr>
          <w:t>eHåndbok</w:t>
        </w:r>
        <w:proofErr w:type="spellEnd"/>
        <w:r w:rsidR="008803D5">
          <w:rPr>
            <w:rStyle w:val="Hyperkobling"/>
          </w:rPr>
          <w:t xml:space="preserve"> - Overføring av pasient fra ARA til psykiatrisk døgnavdeling etter Helse og omsorgstjenesteloven; HOL § 10-2 (ous-hf.no)</w:t>
        </w:r>
      </w:hyperlink>
    </w:p>
    <w:p w14:paraId="167EB13C" w14:textId="77777777" w:rsidR="008803D5" w:rsidRDefault="00894993" w:rsidP="008803D5">
      <w:hyperlink r:id="rId7" w:history="1">
        <w:proofErr w:type="spellStart"/>
        <w:r w:rsidR="008803D5">
          <w:rPr>
            <w:rStyle w:val="Hyperkobling"/>
          </w:rPr>
          <w:t>eHåndbok</w:t>
        </w:r>
        <w:proofErr w:type="spellEnd"/>
        <w:r w:rsidR="008803D5">
          <w:rPr>
            <w:rStyle w:val="Hyperkobling"/>
          </w:rPr>
          <w:t xml:space="preserve"> - Praktisering av tilbakehold etter HOL § 10-2 og § 10-3 ved Avdeling rus- og avhengighetsbehandling (ous-hf.no)</w:t>
        </w:r>
      </w:hyperlink>
    </w:p>
    <w:p w14:paraId="15620B50" w14:textId="77777777" w:rsidR="004C52B7" w:rsidRDefault="00894993" w:rsidP="008803D5">
      <w:hyperlink r:id="rId8" w:history="1">
        <w:proofErr w:type="spellStart"/>
        <w:r w:rsidR="004C52B7">
          <w:rPr>
            <w:rStyle w:val="Hyperkobling"/>
          </w:rPr>
          <w:t>eHåndbok</w:t>
        </w:r>
        <w:proofErr w:type="spellEnd"/>
        <w:r w:rsidR="004C52B7">
          <w:rPr>
            <w:rStyle w:val="Hyperkobling"/>
          </w:rPr>
          <w:t xml:space="preserve"> - Tvang etter Helse- og omsorgstjenesteloven §§ 10-2 og 10-3. Bekymringsmelding, bistandsmøte, varsling til statsforvalter (ous-hf.no)</w:t>
        </w:r>
      </w:hyperlink>
    </w:p>
    <w:p w14:paraId="6D58BE99" w14:textId="6888B20F" w:rsidR="00A16D3B" w:rsidRDefault="00894993" w:rsidP="004C52B7">
      <w:pPr>
        <w:rPr>
          <w:rStyle w:val="Hyperkobling"/>
        </w:rPr>
      </w:pPr>
      <w:hyperlink r:id="rId9" w:history="1">
        <w:proofErr w:type="spellStart"/>
        <w:r w:rsidR="004C52B7">
          <w:rPr>
            <w:rStyle w:val="Hyperkobling"/>
          </w:rPr>
          <w:t>eHåndbok</w:t>
        </w:r>
        <w:proofErr w:type="spellEnd"/>
        <w:r w:rsidR="004C52B7">
          <w:rPr>
            <w:rStyle w:val="Hyperkobling"/>
          </w:rPr>
          <w:t xml:space="preserve"> - Husordensregler Avdeling rus- og avhengighetsbehandling (ous-hf.no)</w:t>
        </w:r>
      </w:hyperlink>
    </w:p>
    <w:p w14:paraId="5F23EAC6" w14:textId="356802F4" w:rsidR="001F5D20" w:rsidRPr="008803D5" w:rsidRDefault="00894993" w:rsidP="004C52B7">
      <w:hyperlink r:id="rId10" w:history="1">
        <w:r w:rsidR="001F5D20">
          <w:rPr>
            <w:rStyle w:val="Hyperkobling"/>
          </w:rPr>
          <w:t>Tvangstiltak overfor personer med rusmiddelproblemer – Veileder.pdf (helsedirektoratet.no)</w:t>
        </w:r>
      </w:hyperlink>
    </w:p>
    <w:sectPr w:rsidR="001F5D20" w:rsidRPr="008803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A19BB"/>
    <w:multiLevelType w:val="hybridMultilevel"/>
    <w:tmpl w:val="ADCC0120"/>
    <w:lvl w:ilvl="0" w:tplc="AAE81D2C">
      <w:start w:val="1"/>
      <w:numFmt w:val="bullet"/>
      <w:lvlText w:val="•"/>
      <w:lvlJc w:val="left"/>
      <w:pPr>
        <w:tabs>
          <w:tab w:val="num" w:pos="720"/>
        </w:tabs>
        <w:ind w:left="720" w:hanging="360"/>
      </w:pPr>
      <w:rPr>
        <w:rFonts w:ascii="Arial" w:hAnsi="Arial" w:cs="Times New Roman" w:hint="default"/>
      </w:rPr>
    </w:lvl>
    <w:lvl w:ilvl="1" w:tplc="A8763D9E">
      <w:start w:val="1"/>
      <w:numFmt w:val="bullet"/>
      <w:lvlText w:val="•"/>
      <w:lvlJc w:val="left"/>
      <w:pPr>
        <w:tabs>
          <w:tab w:val="num" w:pos="1440"/>
        </w:tabs>
        <w:ind w:left="1440" w:hanging="360"/>
      </w:pPr>
      <w:rPr>
        <w:rFonts w:ascii="Arial" w:hAnsi="Arial" w:cs="Times New Roman" w:hint="default"/>
      </w:rPr>
    </w:lvl>
    <w:lvl w:ilvl="2" w:tplc="391AF992">
      <w:start w:val="1"/>
      <w:numFmt w:val="bullet"/>
      <w:lvlText w:val="•"/>
      <w:lvlJc w:val="left"/>
      <w:pPr>
        <w:tabs>
          <w:tab w:val="num" w:pos="2160"/>
        </w:tabs>
        <w:ind w:left="2160" w:hanging="360"/>
      </w:pPr>
      <w:rPr>
        <w:rFonts w:ascii="Arial" w:hAnsi="Arial" w:cs="Times New Roman" w:hint="default"/>
      </w:rPr>
    </w:lvl>
    <w:lvl w:ilvl="3" w:tplc="FDE04836">
      <w:start w:val="1"/>
      <w:numFmt w:val="bullet"/>
      <w:lvlText w:val="•"/>
      <w:lvlJc w:val="left"/>
      <w:pPr>
        <w:tabs>
          <w:tab w:val="num" w:pos="2880"/>
        </w:tabs>
        <w:ind w:left="2880" w:hanging="360"/>
      </w:pPr>
      <w:rPr>
        <w:rFonts w:ascii="Arial" w:hAnsi="Arial" w:cs="Times New Roman" w:hint="default"/>
      </w:rPr>
    </w:lvl>
    <w:lvl w:ilvl="4" w:tplc="952A0BD2">
      <w:start w:val="1"/>
      <w:numFmt w:val="bullet"/>
      <w:lvlText w:val="•"/>
      <w:lvlJc w:val="left"/>
      <w:pPr>
        <w:tabs>
          <w:tab w:val="num" w:pos="3600"/>
        </w:tabs>
        <w:ind w:left="3600" w:hanging="360"/>
      </w:pPr>
      <w:rPr>
        <w:rFonts w:ascii="Arial" w:hAnsi="Arial" w:cs="Times New Roman" w:hint="default"/>
      </w:rPr>
    </w:lvl>
    <w:lvl w:ilvl="5" w:tplc="C8F2A124">
      <w:start w:val="1"/>
      <w:numFmt w:val="bullet"/>
      <w:lvlText w:val="•"/>
      <w:lvlJc w:val="left"/>
      <w:pPr>
        <w:tabs>
          <w:tab w:val="num" w:pos="4320"/>
        </w:tabs>
        <w:ind w:left="4320" w:hanging="360"/>
      </w:pPr>
      <w:rPr>
        <w:rFonts w:ascii="Arial" w:hAnsi="Arial" w:cs="Times New Roman" w:hint="default"/>
      </w:rPr>
    </w:lvl>
    <w:lvl w:ilvl="6" w:tplc="71C0484E">
      <w:start w:val="1"/>
      <w:numFmt w:val="bullet"/>
      <w:lvlText w:val="•"/>
      <w:lvlJc w:val="left"/>
      <w:pPr>
        <w:tabs>
          <w:tab w:val="num" w:pos="5040"/>
        </w:tabs>
        <w:ind w:left="5040" w:hanging="360"/>
      </w:pPr>
      <w:rPr>
        <w:rFonts w:ascii="Arial" w:hAnsi="Arial" w:cs="Times New Roman" w:hint="default"/>
      </w:rPr>
    </w:lvl>
    <w:lvl w:ilvl="7" w:tplc="2D0EE2E0">
      <w:start w:val="1"/>
      <w:numFmt w:val="bullet"/>
      <w:lvlText w:val="•"/>
      <w:lvlJc w:val="left"/>
      <w:pPr>
        <w:tabs>
          <w:tab w:val="num" w:pos="5760"/>
        </w:tabs>
        <w:ind w:left="5760" w:hanging="360"/>
      </w:pPr>
      <w:rPr>
        <w:rFonts w:ascii="Arial" w:hAnsi="Arial" w:cs="Times New Roman" w:hint="default"/>
      </w:rPr>
    </w:lvl>
    <w:lvl w:ilvl="8" w:tplc="5D842888">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30D4768D"/>
    <w:multiLevelType w:val="hybridMultilevel"/>
    <w:tmpl w:val="432A01D4"/>
    <w:lvl w:ilvl="0" w:tplc="0414000F">
      <w:start w:val="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48831941"/>
    <w:multiLevelType w:val="hybridMultilevel"/>
    <w:tmpl w:val="31EEE5D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3D5"/>
    <w:rsid w:val="000B7D39"/>
    <w:rsid w:val="000D1B75"/>
    <w:rsid w:val="000D6628"/>
    <w:rsid w:val="000F1267"/>
    <w:rsid w:val="001F5D20"/>
    <w:rsid w:val="002158F3"/>
    <w:rsid w:val="00236C7C"/>
    <w:rsid w:val="00252891"/>
    <w:rsid w:val="00264CF6"/>
    <w:rsid w:val="00283F99"/>
    <w:rsid w:val="00350A46"/>
    <w:rsid w:val="003636FB"/>
    <w:rsid w:val="003A3DAB"/>
    <w:rsid w:val="0044329D"/>
    <w:rsid w:val="00454D4A"/>
    <w:rsid w:val="004A6D98"/>
    <w:rsid w:val="004C52B7"/>
    <w:rsid w:val="00590FF4"/>
    <w:rsid w:val="005D3186"/>
    <w:rsid w:val="005F7233"/>
    <w:rsid w:val="006E1D57"/>
    <w:rsid w:val="006F17EC"/>
    <w:rsid w:val="006F6CE4"/>
    <w:rsid w:val="00707622"/>
    <w:rsid w:val="007A1653"/>
    <w:rsid w:val="007F5E35"/>
    <w:rsid w:val="00877649"/>
    <w:rsid w:val="008803D5"/>
    <w:rsid w:val="008937E3"/>
    <w:rsid w:val="00894993"/>
    <w:rsid w:val="00933775"/>
    <w:rsid w:val="009941D5"/>
    <w:rsid w:val="00A16D3B"/>
    <w:rsid w:val="00A26798"/>
    <w:rsid w:val="00A872F5"/>
    <w:rsid w:val="00AD5BD6"/>
    <w:rsid w:val="00BC2AA1"/>
    <w:rsid w:val="00C00C99"/>
    <w:rsid w:val="00C609D9"/>
    <w:rsid w:val="00C62E5C"/>
    <w:rsid w:val="00CF7014"/>
    <w:rsid w:val="00D23955"/>
    <w:rsid w:val="00D5535D"/>
    <w:rsid w:val="00D9100C"/>
    <w:rsid w:val="00DA5BF4"/>
    <w:rsid w:val="00DA7D6A"/>
    <w:rsid w:val="00DE49E4"/>
    <w:rsid w:val="00DE6AEC"/>
    <w:rsid w:val="00DE7C2E"/>
    <w:rsid w:val="00E559CC"/>
    <w:rsid w:val="00EA11A1"/>
    <w:rsid w:val="00EF7AD4"/>
    <w:rsid w:val="00F1250A"/>
    <w:rsid w:val="00F15C17"/>
    <w:rsid w:val="00F53E61"/>
    <w:rsid w:val="00F90517"/>
    <w:rsid w:val="00FB21D4"/>
    <w:rsid w:val="00FF5DF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D0E52"/>
  <w15:chartTrackingRefBased/>
  <w15:docId w15:val="{983A9429-6C16-4F75-A3B9-B86702CAC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3D5"/>
    <w:pPr>
      <w:spacing w:after="0" w:line="240"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8803D5"/>
    <w:rPr>
      <w:color w:val="0000FF" w:themeColor="hyperlink"/>
      <w:u w:val="single"/>
    </w:rPr>
  </w:style>
  <w:style w:type="paragraph" w:styleId="Bobletekst">
    <w:name w:val="Balloon Text"/>
    <w:basedOn w:val="Normal"/>
    <w:link w:val="BobletekstTegn"/>
    <w:uiPriority w:val="99"/>
    <w:semiHidden/>
    <w:unhideWhenUsed/>
    <w:rsid w:val="002158F3"/>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158F3"/>
    <w:rPr>
      <w:rFonts w:ascii="Segoe UI" w:hAnsi="Segoe UI" w:cs="Segoe UI"/>
      <w:sz w:val="18"/>
      <w:szCs w:val="18"/>
    </w:rPr>
  </w:style>
  <w:style w:type="paragraph" w:customStyle="1" w:styleId="884678A6FE414872A6C59CCBAF2E1BCD">
    <w:name w:val="884678A6FE414872A6C59CCBAF2E1BCD"/>
    <w:rsid w:val="00AD5BD6"/>
    <w:pPr>
      <w:spacing w:after="0" w:line="240" w:lineRule="auto"/>
    </w:pPr>
    <w:rPr>
      <w:rFonts w:ascii="Open Sans" w:hAnsi="Open Sans"/>
      <w:sz w:val="20"/>
      <w:szCs w:val="21"/>
    </w:rPr>
  </w:style>
  <w:style w:type="character" w:styleId="Merknadsreferanse">
    <w:name w:val="annotation reference"/>
    <w:basedOn w:val="Standardskriftforavsnitt"/>
    <w:uiPriority w:val="99"/>
    <w:semiHidden/>
    <w:unhideWhenUsed/>
    <w:rsid w:val="000D1B75"/>
    <w:rPr>
      <w:sz w:val="16"/>
      <w:szCs w:val="16"/>
    </w:rPr>
  </w:style>
  <w:style w:type="paragraph" w:styleId="Merknadstekst">
    <w:name w:val="annotation text"/>
    <w:basedOn w:val="Normal"/>
    <w:link w:val="MerknadstekstTegn"/>
    <w:uiPriority w:val="99"/>
    <w:semiHidden/>
    <w:unhideWhenUsed/>
    <w:rsid w:val="000D1B75"/>
    <w:rPr>
      <w:sz w:val="20"/>
      <w:szCs w:val="20"/>
    </w:rPr>
  </w:style>
  <w:style w:type="character" w:customStyle="1" w:styleId="MerknadstekstTegn">
    <w:name w:val="Merknadstekst Tegn"/>
    <w:basedOn w:val="Standardskriftforavsnitt"/>
    <w:link w:val="Merknadstekst"/>
    <w:uiPriority w:val="99"/>
    <w:semiHidden/>
    <w:rsid w:val="000D1B75"/>
    <w:rPr>
      <w:sz w:val="20"/>
      <w:szCs w:val="20"/>
    </w:rPr>
  </w:style>
  <w:style w:type="paragraph" w:styleId="Kommentaremne">
    <w:name w:val="annotation subject"/>
    <w:basedOn w:val="Merknadstekst"/>
    <w:next w:val="Merknadstekst"/>
    <w:link w:val="KommentaremneTegn"/>
    <w:uiPriority w:val="99"/>
    <w:semiHidden/>
    <w:unhideWhenUsed/>
    <w:rsid w:val="000D1B75"/>
    <w:rPr>
      <w:b/>
      <w:bCs/>
    </w:rPr>
  </w:style>
  <w:style w:type="character" w:customStyle="1" w:styleId="KommentaremneTegn">
    <w:name w:val="Kommentaremne Tegn"/>
    <w:basedOn w:val="MerknadstekstTegn"/>
    <w:link w:val="Kommentaremne"/>
    <w:uiPriority w:val="99"/>
    <w:semiHidden/>
    <w:rsid w:val="000D1B75"/>
    <w:rPr>
      <w:b/>
      <w:bCs/>
      <w:sz w:val="20"/>
      <w:szCs w:val="20"/>
    </w:rPr>
  </w:style>
  <w:style w:type="character" w:customStyle="1" w:styleId="highlight">
    <w:name w:val="highlight"/>
    <w:basedOn w:val="Standardskriftforavsnitt"/>
    <w:rsid w:val="00DA7D6A"/>
  </w:style>
  <w:style w:type="paragraph" w:styleId="Listeavsnitt">
    <w:name w:val="List Paragraph"/>
    <w:basedOn w:val="Normal"/>
    <w:uiPriority w:val="34"/>
    <w:qFormat/>
    <w:rsid w:val="00EA11A1"/>
    <w:pPr>
      <w:ind w:left="720"/>
      <w:contextualSpacing/>
    </w:pPr>
  </w:style>
  <w:style w:type="paragraph" w:customStyle="1" w:styleId="Default">
    <w:name w:val="Default"/>
    <w:rsid w:val="001F5D20"/>
    <w:pPr>
      <w:autoSpaceDE w:val="0"/>
      <w:autoSpaceDN w:val="0"/>
      <w:adjustRightInd w:val="0"/>
      <w:spacing w:after="0" w:line="240" w:lineRule="auto"/>
    </w:pPr>
    <w:rPr>
      <w:rFonts w:ascii="Calibri" w:hAnsi="Calibri" w:cs="Calibri"/>
      <w:color w:val="000000"/>
      <w:sz w:val="24"/>
      <w:szCs w:val="24"/>
    </w:rPr>
  </w:style>
  <w:style w:type="paragraph" w:styleId="Revisjon">
    <w:name w:val="Revision"/>
    <w:hidden/>
    <w:uiPriority w:val="99"/>
    <w:semiHidden/>
    <w:rsid w:val="00F53E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797778">
      <w:bodyDiv w:val="1"/>
      <w:marLeft w:val="0"/>
      <w:marRight w:val="0"/>
      <w:marTop w:val="0"/>
      <w:marBottom w:val="0"/>
      <w:divBdr>
        <w:top w:val="none" w:sz="0" w:space="0" w:color="auto"/>
        <w:left w:val="none" w:sz="0" w:space="0" w:color="auto"/>
        <w:bottom w:val="none" w:sz="0" w:space="0" w:color="auto"/>
        <w:right w:val="none" w:sz="0" w:space="0" w:color="auto"/>
      </w:divBdr>
    </w:div>
    <w:div w:id="986058510">
      <w:bodyDiv w:val="1"/>
      <w:marLeft w:val="0"/>
      <w:marRight w:val="0"/>
      <w:marTop w:val="0"/>
      <w:marBottom w:val="0"/>
      <w:divBdr>
        <w:top w:val="none" w:sz="0" w:space="0" w:color="auto"/>
        <w:left w:val="none" w:sz="0" w:space="0" w:color="auto"/>
        <w:bottom w:val="none" w:sz="0" w:space="0" w:color="auto"/>
        <w:right w:val="none" w:sz="0" w:space="0" w:color="auto"/>
      </w:divBdr>
    </w:div>
    <w:div w:id="1180118060">
      <w:bodyDiv w:val="1"/>
      <w:marLeft w:val="0"/>
      <w:marRight w:val="0"/>
      <w:marTop w:val="0"/>
      <w:marBottom w:val="0"/>
      <w:divBdr>
        <w:top w:val="none" w:sz="0" w:space="0" w:color="auto"/>
        <w:left w:val="none" w:sz="0" w:space="0" w:color="auto"/>
        <w:bottom w:val="none" w:sz="0" w:space="0" w:color="auto"/>
        <w:right w:val="none" w:sz="0" w:space="0" w:color="auto"/>
      </w:divBdr>
    </w:div>
    <w:div w:id="167984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handbok.ous-hf.no/document/8561" TargetMode="External"/><Relationship Id="rId3" Type="http://schemas.openxmlformats.org/officeDocument/2006/relationships/styles" Target="styles.xml"/><Relationship Id="rId7" Type="http://schemas.openxmlformats.org/officeDocument/2006/relationships/hyperlink" Target="https://ehandbok.ous-hf.no/document/14010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handbok.ous-hf.no/document/13120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helsedirektoratet.no/veiledere/tvang-overfor-personer-med-rusmiddelproblemer/Tvangstiltak%20overfor%20personer%20med%20rusmiddelproblemer%20%E2%80%93%20Veileder.pdf/_/attachment/inline/c399c1b7-d0ef-44a9-af9a-80c018385021:2e78c8bfe086d5bf644ee8fcc7e2990c048b6787/Tvangstiltak%20overfor%20personer%20med%20rusmiddelproblemer%20%E2%80%93%20Veileder.pdf" TargetMode="External"/><Relationship Id="rId4" Type="http://schemas.openxmlformats.org/officeDocument/2006/relationships/settings" Target="settings.xml"/><Relationship Id="rId9" Type="http://schemas.openxmlformats.org/officeDocument/2006/relationships/hyperlink" Target="https://ehandbok.ous-hf.no/document/59593"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E297F-18FE-49D9-9144-03D6FA9CD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1400</Words>
  <Characters>7420</Characters>
  <Application>Microsoft Office Word</Application>
  <DocSecurity>0</DocSecurity>
  <Lines>61</Lines>
  <Paragraphs>17</Paragraphs>
  <ScaleCrop>false</ScaleCrop>
  <HeadingPairs>
    <vt:vector size="2" baseType="variant">
      <vt:variant>
        <vt:lpstr>Tittel</vt:lpstr>
      </vt:variant>
      <vt:variant>
        <vt:i4>1</vt:i4>
      </vt:variant>
    </vt:vector>
  </HeadingPairs>
  <TitlesOfParts>
    <vt:vector size="1" baseType="lpstr">
      <vt:lpstr/>
    </vt:vector>
  </TitlesOfParts>
  <Company>Helse Sør-Øst</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Asle Ellingsøn Enger</dc:creator>
  <cp:keywords/>
  <dc:description/>
  <cp:lastModifiedBy>Asle Ellingsøn Enger</cp:lastModifiedBy>
  <cp:revision>9</cp:revision>
  <dcterms:created xsi:type="dcterms:W3CDTF">2024-10-09T11:28:00Z</dcterms:created>
  <dcterms:modified xsi:type="dcterms:W3CDTF">2024-10-11T12:12:00Z</dcterms:modified>
</cp:coreProperties>
</file>