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985"/>
        <w:gridCol w:w="4394"/>
        <w:gridCol w:w="1701"/>
      </w:tblGrid>
      <w:tr w:rsidR="00B44CDA" w14:paraId="216FE527" w14:textId="77777777" w:rsidTr="00F90938">
        <w:tc>
          <w:tcPr>
            <w:tcW w:w="11057" w:type="dxa"/>
            <w:gridSpan w:val="5"/>
            <w:tcBorders>
              <w:bottom w:val="nil"/>
            </w:tcBorders>
            <w:shd w:val="clear" w:color="auto" w:fill="F4B083" w:themeFill="accent2" w:themeFillTint="99"/>
          </w:tcPr>
          <w:p w14:paraId="5E79D5E0" w14:textId="29208BD7" w:rsidR="00B44CDA" w:rsidRDefault="005C41B6" w:rsidP="0013768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Anestesiplan </w:t>
            </w:r>
            <w:r>
              <w:rPr>
                <w:b/>
                <w:sz w:val="56"/>
                <w:szCs w:val="56"/>
                <w:u w:val="single"/>
              </w:rPr>
              <w:t>e</w:t>
            </w:r>
            <w:r w:rsidR="00B44CDA" w:rsidRPr="006E55A6">
              <w:rPr>
                <w:b/>
                <w:sz w:val="56"/>
                <w:szCs w:val="56"/>
                <w:u w:val="single"/>
              </w:rPr>
              <w:t>lektive</w:t>
            </w:r>
            <w:r w:rsidR="00B44CDA">
              <w:rPr>
                <w:b/>
                <w:sz w:val="56"/>
                <w:szCs w:val="56"/>
              </w:rPr>
              <w:t xml:space="preserve"> </w:t>
            </w:r>
            <w:r w:rsidR="00B44CDA" w:rsidRPr="00227935">
              <w:rPr>
                <w:b/>
                <w:sz w:val="56"/>
                <w:szCs w:val="56"/>
              </w:rPr>
              <w:t>ryggfiksasjoner</w:t>
            </w:r>
            <w:r w:rsidR="00B57BCC">
              <w:rPr>
                <w:b/>
                <w:sz w:val="56"/>
                <w:szCs w:val="56"/>
              </w:rPr>
              <w:t xml:space="preserve"> </w:t>
            </w:r>
          </w:p>
          <w:p w14:paraId="6746C7E7" w14:textId="576A179C" w:rsidR="0013768F" w:rsidRPr="0013768F" w:rsidRDefault="0013768F" w:rsidP="00137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Degenerativ rygg</w:t>
            </w:r>
            <w:r w:rsidR="00365CE0">
              <w:rPr>
                <w:b/>
                <w:sz w:val="24"/>
                <w:szCs w:val="24"/>
              </w:rPr>
              <w:t>:</w:t>
            </w:r>
          </w:p>
        </w:tc>
      </w:tr>
      <w:tr w:rsidR="003E77CA" w14:paraId="6A5B8D02" w14:textId="77777777" w:rsidTr="00F90938">
        <w:tc>
          <w:tcPr>
            <w:tcW w:w="11057" w:type="dxa"/>
            <w:gridSpan w:val="5"/>
            <w:tcBorders>
              <w:top w:val="nil"/>
              <w:bottom w:val="inset" w:sz="6" w:space="0" w:color="auto"/>
            </w:tcBorders>
            <w:shd w:val="clear" w:color="auto" w:fill="FBE4D5" w:themeFill="accent2" w:themeFillTint="33"/>
          </w:tcPr>
          <w:p w14:paraId="78514ED3" w14:textId="77777777" w:rsidR="00D03BF3" w:rsidRDefault="003E77CA" w:rsidP="003E77CA">
            <w:pPr>
              <w:rPr>
                <w:b/>
                <w:color w:val="FF0000"/>
                <w:sz w:val="36"/>
                <w:szCs w:val="36"/>
              </w:rPr>
            </w:pPr>
            <w:r w:rsidRPr="00DF643C">
              <w:rPr>
                <w:b/>
                <w:color w:val="FF0000"/>
                <w:sz w:val="36"/>
                <w:szCs w:val="36"/>
              </w:rPr>
              <w:t xml:space="preserve">Spesielle hensyn/utstyr: </w:t>
            </w:r>
          </w:p>
          <w:p w14:paraId="62988B50" w14:textId="00F3117B" w:rsidR="003E77CA" w:rsidRPr="00D03BF3" w:rsidRDefault="0013768F" w:rsidP="003E77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Gode innganger, arteriekran: </w:t>
            </w:r>
            <w:r w:rsidRPr="0013768F">
              <w:t>Evt blødning</w:t>
            </w:r>
          </w:p>
          <w:p w14:paraId="17F56811" w14:textId="4D08A509" w:rsidR="00D03BF3" w:rsidRDefault="00D03BF3" w:rsidP="003E77CA">
            <w:pPr>
              <w:rPr>
                <w:bCs/>
              </w:rPr>
            </w:pPr>
            <w:r>
              <w:rPr>
                <w:b/>
              </w:rPr>
              <w:t>CT scanning på stue 20</w:t>
            </w:r>
            <w:r w:rsidR="0013768F">
              <w:rPr>
                <w:b/>
              </w:rPr>
              <w:t xml:space="preserve">: </w:t>
            </w:r>
            <w:r w:rsidR="00E92B43">
              <w:rPr>
                <w:bCs/>
              </w:rPr>
              <w:t>Ventilator settes i ca 60-90</w:t>
            </w:r>
            <w:r w:rsidR="0013768F" w:rsidRPr="0013768F">
              <w:rPr>
                <w:bCs/>
              </w:rPr>
              <w:t xml:space="preserve"> sekunders apnoe e preoksygenering </w:t>
            </w:r>
            <w:r w:rsidRPr="0013768F">
              <w:rPr>
                <w:bCs/>
              </w:rPr>
              <w:t>(evt langsom RF om apnoe tolereres dårlig)</w:t>
            </w:r>
          </w:p>
          <w:p w14:paraId="76CF718C" w14:textId="77777777" w:rsidR="00AA18B8" w:rsidRDefault="00AA18B8" w:rsidP="003E77CA">
            <w:pPr>
              <w:rPr>
                <w:bCs/>
              </w:rPr>
            </w:pPr>
            <w:r>
              <w:rPr>
                <w:b/>
              </w:rPr>
              <w:t xml:space="preserve">Nervestimulator: </w:t>
            </w:r>
            <w:r>
              <w:rPr>
                <w:bCs/>
              </w:rPr>
              <w:t>I sjeldne tilfeller bruker ortoped peroperativ nervestimulator. Pasienten skal da ha TIVA og skal ikke være relaksert. (se peroperativt)</w:t>
            </w:r>
          </w:p>
          <w:p w14:paraId="5CB6C2C9" w14:textId="314EEB56" w:rsidR="005D3EDB" w:rsidRPr="00AA18B8" w:rsidRDefault="005D3EDB" w:rsidP="003E77CA">
            <w:pPr>
              <w:rPr>
                <w:bCs/>
              </w:rPr>
            </w:pPr>
            <w:r>
              <w:rPr>
                <w:b/>
                <w:sz w:val="32"/>
                <w:szCs w:val="32"/>
              </w:rPr>
              <w:t>OBS: basal væskebehov peroperativt på 3 ml/kg/t + korriger for blodtap med krystalloider for opptil 10% av beregnet blodvolum – konf. anestesilege</w:t>
            </w:r>
          </w:p>
        </w:tc>
      </w:tr>
      <w:tr w:rsidR="00E90A1B" w14:paraId="2F908373" w14:textId="77777777" w:rsidTr="00F90938">
        <w:tc>
          <w:tcPr>
            <w:tcW w:w="11057" w:type="dxa"/>
            <w:gridSpan w:val="5"/>
            <w:tcBorders>
              <w:top w:val="inset" w:sz="6" w:space="0" w:color="auto"/>
              <w:bottom w:val="nil"/>
            </w:tcBorders>
            <w:shd w:val="clear" w:color="auto" w:fill="F4B083" w:themeFill="accent2" w:themeFillTint="99"/>
          </w:tcPr>
          <w:p w14:paraId="553D6675" w14:textId="77777777" w:rsidR="00E90A1B" w:rsidRPr="00A560AE" w:rsidRDefault="00E90A1B" w:rsidP="00E90A1B">
            <w:pPr>
              <w:jc w:val="center"/>
              <w:rPr>
                <w:b/>
                <w:sz w:val="36"/>
                <w:szCs w:val="36"/>
              </w:rPr>
            </w:pPr>
            <w:r w:rsidRPr="00A560AE">
              <w:rPr>
                <w:b/>
                <w:sz w:val="36"/>
                <w:szCs w:val="36"/>
              </w:rPr>
              <w:t>Preoperativt:</w:t>
            </w:r>
          </w:p>
        </w:tc>
      </w:tr>
      <w:tr w:rsidR="003E77CA" w14:paraId="31CC9237" w14:textId="77777777" w:rsidTr="00F90938">
        <w:tc>
          <w:tcPr>
            <w:tcW w:w="2127" w:type="dxa"/>
            <w:tcBorders>
              <w:top w:val="inset" w:sz="6" w:space="0" w:color="auto"/>
            </w:tcBorders>
            <w:shd w:val="clear" w:color="auto" w:fill="FBE4D5" w:themeFill="accent2" w:themeFillTint="33"/>
          </w:tcPr>
          <w:p w14:paraId="560FB0A9" w14:textId="77777777" w:rsidR="003E77CA" w:rsidRPr="005B538D" w:rsidRDefault="003E77CA" w:rsidP="00E90A1B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Type medikament:</w:t>
            </w:r>
          </w:p>
        </w:tc>
        <w:tc>
          <w:tcPr>
            <w:tcW w:w="850" w:type="dxa"/>
            <w:tcBorders>
              <w:top w:val="inset" w:sz="6" w:space="0" w:color="auto"/>
            </w:tcBorders>
            <w:shd w:val="clear" w:color="auto" w:fill="FBE4D5" w:themeFill="accent2" w:themeFillTint="33"/>
          </w:tcPr>
          <w:p w14:paraId="32F93416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 form:</w:t>
            </w:r>
          </w:p>
        </w:tc>
        <w:tc>
          <w:tcPr>
            <w:tcW w:w="1985" w:type="dxa"/>
            <w:tcBorders>
              <w:top w:val="inset" w:sz="6" w:space="0" w:color="auto"/>
            </w:tcBorders>
            <w:shd w:val="clear" w:color="auto" w:fill="FBE4D5" w:themeFill="accent2" w:themeFillTint="33"/>
          </w:tcPr>
          <w:p w14:paraId="1D501107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Dose:</w:t>
            </w:r>
          </w:p>
        </w:tc>
        <w:tc>
          <w:tcPr>
            <w:tcW w:w="4394" w:type="dxa"/>
            <w:tcBorders>
              <w:top w:val="inset" w:sz="6" w:space="0" w:color="auto"/>
            </w:tcBorders>
            <w:shd w:val="clear" w:color="auto" w:fill="FBE4D5" w:themeFill="accent2" w:themeFillTint="33"/>
          </w:tcPr>
          <w:p w14:paraId="23A9F5A3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Kontraindikasjoner/</w:t>
            </w:r>
          </w:p>
          <w:p w14:paraId="4A413B9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kommentarer:</w:t>
            </w:r>
          </w:p>
        </w:tc>
        <w:tc>
          <w:tcPr>
            <w:tcW w:w="1701" w:type="dxa"/>
            <w:tcBorders>
              <w:top w:val="inset" w:sz="6" w:space="0" w:color="auto"/>
            </w:tcBorders>
            <w:shd w:val="clear" w:color="auto" w:fill="FBE4D5" w:themeFill="accent2" w:themeFillTint="33"/>
          </w:tcPr>
          <w:p w14:paraId="4398E83A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</w:t>
            </w:r>
          </w:p>
          <w:p w14:paraId="5C11CC04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dokumenter</w:t>
            </w:r>
          </w:p>
        </w:tc>
      </w:tr>
      <w:tr w:rsidR="003E77CA" w14:paraId="27D36B90" w14:textId="77777777" w:rsidTr="003A67D8">
        <w:tc>
          <w:tcPr>
            <w:tcW w:w="2127" w:type="dxa"/>
          </w:tcPr>
          <w:p w14:paraId="10121CE1" w14:textId="77777777" w:rsidR="003E77CA" w:rsidRDefault="003E77CA">
            <w:r>
              <w:t xml:space="preserve">Faste opioider </w:t>
            </w:r>
          </w:p>
        </w:tc>
        <w:tc>
          <w:tcPr>
            <w:tcW w:w="850" w:type="dxa"/>
          </w:tcPr>
          <w:p w14:paraId="21EA8F80" w14:textId="77777777" w:rsidR="003E77CA" w:rsidRDefault="003E77CA">
            <w:r>
              <w:t>po</w:t>
            </w:r>
          </w:p>
        </w:tc>
        <w:tc>
          <w:tcPr>
            <w:tcW w:w="1985" w:type="dxa"/>
          </w:tcPr>
          <w:p w14:paraId="3E8FD7F9" w14:textId="77777777" w:rsidR="003E77CA" w:rsidRDefault="003E77CA"/>
        </w:tc>
        <w:tc>
          <w:tcPr>
            <w:tcW w:w="4394" w:type="dxa"/>
          </w:tcPr>
          <w:p w14:paraId="2F5D4752" w14:textId="77777777" w:rsidR="003E77CA" w:rsidRDefault="003E77CA">
            <w:r>
              <w:t>Pasientene skal ha sine faste opioider, evt regn om til oxycontin dose dersom det er medikamenter vi ikke har. Partielle opioidagonister/antagonister kontinueres.</w:t>
            </w:r>
          </w:p>
        </w:tc>
        <w:tc>
          <w:tcPr>
            <w:tcW w:w="1701" w:type="dxa"/>
            <w:shd w:val="clear" w:color="auto" w:fill="FFFFFF" w:themeFill="background1"/>
          </w:tcPr>
          <w:p w14:paraId="2885E2CB" w14:textId="77777777" w:rsidR="003E77CA" w:rsidRDefault="003E7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OMEQ tabell fra Helfo</w:t>
            </w:r>
          </w:p>
          <w:p w14:paraId="335A3C98" w14:textId="77777777" w:rsidR="003E77CA" w:rsidRPr="002F3BD4" w:rsidRDefault="003E77CA">
            <w:pPr>
              <w:rPr>
                <w:sz w:val="18"/>
                <w:szCs w:val="18"/>
              </w:rPr>
            </w:pPr>
          </w:p>
        </w:tc>
      </w:tr>
      <w:tr w:rsidR="003E77CA" w14:paraId="77917FBC" w14:textId="77777777" w:rsidTr="003A67D8">
        <w:tc>
          <w:tcPr>
            <w:tcW w:w="2127" w:type="dxa"/>
          </w:tcPr>
          <w:p w14:paraId="74D7158A" w14:textId="77777777" w:rsidR="003E77CA" w:rsidRDefault="003E77CA">
            <w:r>
              <w:t>Paracetamol</w:t>
            </w:r>
          </w:p>
        </w:tc>
        <w:tc>
          <w:tcPr>
            <w:tcW w:w="850" w:type="dxa"/>
          </w:tcPr>
          <w:p w14:paraId="7A6251CE" w14:textId="77777777" w:rsidR="003E77CA" w:rsidRDefault="003E77CA">
            <w:r>
              <w:t>po</w:t>
            </w:r>
          </w:p>
        </w:tc>
        <w:tc>
          <w:tcPr>
            <w:tcW w:w="1985" w:type="dxa"/>
          </w:tcPr>
          <w:p w14:paraId="28E943A6" w14:textId="77777777" w:rsidR="003E77CA" w:rsidRDefault="003E77CA">
            <w:r>
              <w:t>2 gr &gt; 60 kg/&lt; 70 år</w:t>
            </w:r>
          </w:p>
          <w:p w14:paraId="17D4FBDE" w14:textId="77777777" w:rsidR="003E77CA" w:rsidRDefault="003E77CA">
            <w:r>
              <w:t>1,5 gr &lt; 60 kg/&gt; 70 år</w:t>
            </w:r>
          </w:p>
        </w:tc>
        <w:tc>
          <w:tcPr>
            <w:tcW w:w="4394" w:type="dxa"/>
          </w:tcPr>
          <w:p w14:paraId="60CF2ED7" w14:textId="77777777" w:rsidR="003E77CA" w:rsidRDefault="003E77CA">
            <w:r>
              <w:t>Leversvikt og alder</w:t>
            </w:r>
          </w:p>
        </w:tc>
        <w:tc>
          <w:tcPr>
            <w:tcW w:w="1701" w:type="dxa"/>
            <w:shd w:val="clear" w:color="auto" w:fill="FFFFFF" w:themeFill="background1"/>
          </w:tcPr>
          <w:p w14:paraId="0744DAFB" w14:textId="77777777" w:rsidR="003E77CA" w:rsidRDefault="003E77CA"/>
        </w:tc>
      </w:tr>
      <w:tr w:rsidR="003E77CA" w14:paraId="12C796F4" w14:textId="77777777" w:rsidTr="003A67D8">
        <w:tc>
          <w:tcPr>
            <w:tcW w:w="2127" w:type="dxa"/>
          </w:tcPr>
          <w:p w14:paraId="23DE441D" w14:textId="77777777" w:rsidR="003E77CA" w:rsidRDefault="003E77CA">
            <w:bookmarkStart w:id="0" w:name="OLE_LINK1"/>
            <w:bookmarkStart w:id="1" w:name="OLE_LINK2"/>
            <w:r>
              <w:t>Etorikoksib</w:t>
            </w:r>
          </w:p>
          <w:bookmarkEnd w:id="0"/>
          <w:bookmarkEnd w:id="1"/>
          <w:p w14:paraId="20E7C6E8" w14:textId="77777777" w:rsidR="003E77CA" w:rsidRDefault="003E77CA">
            <w:r>
              <w:t>(Arcoxia)</w:t>
            </w:r>
          </w:p>
        </w:tc>
        <w:tc>
          <w:tcPr>
            <w:tcW w:w="850" w:type="dxa"/>
          </w:tcPr>
          <w:p w14:paraId="76C678DC" w14:textId="77777777" w:rsidR="003E77CA" w:rsidRDefault="003E77CA">
            <w:r>
              <w:t>po</w:t>
            </w:r>
          </w:p>
        </w:tc>
        <w:tc>
          <w:tcPr>
            <w:tcW w:w="1985" w:type="dxa"/>
          </w:tcPr>
          <w:p w14:paraId="3717942C" w14:textId="77777777" w:rsidR="003E77CA" w:rsidRDefault="003E77CA">
            <w:r>
              <w:t>120 mg &gt; 60 kg/&lt; 70 år</w:t>
            </w:r>
          </w:p>
          <w:p w14:paraId="1E9C2664" w14:textId="77777777" w:rsidR="003E77CA" w:rsidRDefault="003E77CA">
            <w:r>
              <w:t>90 mg &lt; 60 kg/&gt; 70 år</w:t>
            </w:r>
          </w:p>
        </w:tc>
        <w:tc>
          <w:tcPr>
            <w:tcW w:w="4394" w:type="dxa"/>
          </w:tcPr>
          <w:p w14:paraId="67798BF7" w14:textId="77777777" w:rsidR="003E77CA" w:rsidRDefault="003E77CA">
            <w:r>
              <w:t>Nyresvikt, aktivt magesår/GI blødning, graviditet, alvorlig ischemisk karsykdom/hjertesvikt (langtidsbruk som er rapportert uheldig mht hjerte/kar)</w:t>
            </w:r>
          </w:p>
        </w:tc>
        <w:tc>
          <w:tcPr>
            <w:tcW w:w="1701" w:type="dxa"/>
            <w:shd w:val="clear" w:color="auto" w:fill="FFFFFF" w:themeFill="background1"/>
          </w:tcPr>
          <w:p w14:paraId="3CFB6111" w14:textId="77777777" w:rsidR="003E77CA" w:rsidRDefault="003E77CA"/>
        </w:tc>
      </w:tr>
      <w:tr w:rsidR="00B96FF8" w14:paraId="409613D7" w14:textId="77777777" w:rsidTr="003A67D8">
        <w:tc>
          <w:tcPr>
            <w:tcW w:w="2127" w:type="dxa"/>
          </w:tcPr>
          <w:p w14:paraId="6B7549ED" w14:textId="77777777" w:rsidR="00B96FF8" w:rsidRDefault="002867A1" w:rsidP="002867A1">
            <w:r>
              <w:t xml:space="preserve">Evt gabapentin </w:t>
            </w:r>
          </w:p>
          <w:p w14:paraId="38323278" w14:textId="163CC22B" w:rsidR="002867A1" w:rsidRDefault="002867A1" w:rsidP="002867A1">
            <w:r>
              <w:t>(neurontin)</w:t>
            </w:r>
          </w:p>
        </w:tc>
        <w:tc>
          <w:tcPr>
            <w:tcW w:w="850" w:type="dxa"/>
          </w:tcPr>
          <w:p w14:paraId="78C6FF5B" w14:textId="309686D0" w:rsidR="00B96FF8" w:rsidRDefault="00B96FF8">
            <w:r>
              <w:t>po</w:t>
            </w:r>
          </w:p>
        </w:tc>
        <w:tc>
          <w:tcPr>
            <w:tcW w:w="1985" w:type="dxa"/>
          </w:tcPr>
          <w:p w14:paraId="7781145E" w14:textId="071FC782" w:rsidR="00B96FF8" w:rsidRDefault="00B96FF8">
            <w:r>
              <w:t>900 mg &gt;60 kg/&lt; 70 år</w:t>
            </w:r>
          </w:p>
          <w:p w14:paraId="69357A3A" w14:textId="58935618" w:rsidR="00F434B3" w:rsidRDefault="00F434B3">
            <w:r>
              <w:t>600 mg &lt;60 kg/&gt; 70 år</w:t>
            </w:r>
          </w:p>
          <w:p w14:paraId="053F3721" w14:textId="554D78E9" w:rsidR="00B96FF8" w:rsidRDefault="00313A82">
            <w:r>
              <w:t>Gis ikke til de over 80 år med mindre de bruker det fra før.</w:t>
            </w:r>
          </w:p>
        </w:tc>
        <w:tc>
          <w:tcPr>
            <w:tcW w:w="4394" w:type="dxa"/>
          </w:tcPr>
          <w:p w14:paraId="3C2E0F33" w14:textId="77777777" w:rsidR="00987CC2" w:rsidRPr="00987CC2" w:rsidRDefault="00987CC2" w:rsidP="00987CC2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987CC2">
              <w:rPr>
                <w:rFonts w:ascii="Calibri" w:eastAsia="Calibri" w:hAnsi="Calibri" w:cs="Times New Roman"/>
              </w:rPr>
              <w:t>Døsighet, svimmelhet.</w:t>
            </w:r>
          </w:p>
          <w:p w14:paraId="6532A435" w14:textId="17596157" w:rsidR="0049383C" w:rsidRDefault="00987CC2" w:rsidP="00987CC2">
            <w:r w:rsidRPr="00987CC2">
              <w:rPr>
                <w:rFonts w:ascii="Calibri" w:eastAsia="Calibri" w:hAnsi="Calibri" w:cs="Times New Roman"/>
              </w:rPr>
              <w:t>(Fortsett med pregabalin (lyrica) hvis pasienten bruker det</w:t>
            </w:r>
            <w:r>
              <w:rPr>
                <w:rFonts w:ascii="Calibri" w:eastAsia="Calibri" w:hAnsi="Calibri" w:cs="Times New Roman"/>
              </w:rPr>
              <w:t xml:space="preserve"> fra før, evt øk dosen.</w:t>
            </w:r>
            <w:r w:rsidRPr="00987CC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14:paraId="62D2806F" w14:textId="77777777" w:rsidR="00B96FF8" w:rsidRDefault="00B96FF8"/>
        </w:tc>
      </w:tr>
      <w:tr w:rsidR="00F90938" w14:paraId="250739CC" w14:textId="77777777" w:rsidTr="003A67D8">
        <w:tc>
          <w:tcPr>
            <w:tcW w:w="2127" w:type="dxa"/>
          </w:tcPr>
          <w:p w14:paraId="3B709388" w14:textId="4DE373AE" w:rsidR="00F90938" w:rsidRDefault="00F90938">
            <w:r>
              <w:t>Deksametason</w:t>
            </w:r>
          </w:p>
        </w:tc>
        <w:tc>
          <w:tcPr>
            <w:tcW w:w="850" w:type="dxa"/>
          </w:tcPr>
          <w:p w14:paraId="68D8A670" w14:textId="18900FD7" w:rsidR="00F90938" w:rsidRDefault="00F90938">
            <w:r>
              <w:t>po</w:t>
            </w:r>
          </w:p>
        </w:tc>
        <w:tc>
          <w:tcPr>
            <w:tcW w:w="1985" w:type="dxa"/>
          </w:tcPr>
          <w:p w14:paraId="5A761551" w14:textId="68BE9275" w:rsidR="00F90938" w:rsidRDefault="00F90938">
            <w:r>
              <w:t>16 mg</w:t>
            </w:r>
          </w:p>
        </w:tc>
        <w:tc>
          <w:tcPr>
            <w:tcW w:w="4394" w:type="dxa"/>
          </w:tcPr>
          <w:p w14:paraId="7F1C9D36" w14:textId="5DEC8640" w:rsidR="00F90938" w:rsidRPr="002867A1" w:rsidRDefault="002867A1" w:rsidP="002867A1">
            <w:r>
              <w:t>Ikke ved pågående infeksjon.</w:t>
            </w:r>
          </w:p>
        </w:tc>
        <w:tc>
          <w:tcPr>
            <w:tcW w:w="1701" w:type="dxa"/>
            <w:shd w:val="clear" w:color="auto" w:fill="FFFFFF" w:themeFill="background1"/>
          </w:tcPr>
          <w:p w14:paraId="07C82A30" w14:textId="77777777" w:rsidR="00F90938" w:rsidRDefault="00F90938"/>
        </w:tc>
      </w:tr>
      <w:tr w:rsidR="003E77CA" w14:paraId="70C3081D" w14:textId="77777777" w:rsidTr="003A67D8">
        <w:tc>
          <w:tcPr>
            <w:tcW w:w="2127" w:type="dxa"/>
            <w:tcBorders>
              <w:bottom w:val="single" w:sz="4" w:space="0" w:color="auto"/>
            </w:tcBorders>
          </w:tcPr>
          <w:p w14:paraId="0DF6D6F3" w14:textId="77777777" w:rsidR="003E77CA" w:rsidRDefault="003E77CA">
            <w:r>
              <w:t>Andre medikamenter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A0E69E" w14:textId="77777777" w:rsidR="003E77CA" w:rsidRDefault="003E77CA"/>
        </w:tc>
        <w:tc>
          <w:tcPr>
            <w:tcW w:w="1985" w:type="dxa"/>
            <w:tcBorders>
              <w:bottom w:val="single" w:sz="4" w:space="0" w:color="auto"/>
            </w:tcBorders>
          </w:tcPr>
          <w:p w14:paraId="24BC1A09" w14:textId="77777777" w:rsidR="003E77CA" w:rsidRDefault="003E77CA"/>
        </w:tc>
        <w:tc>
          <w:tcPr>
            <w:tcW w:w="4394" w:type="dxa"/>
            <w:tcBorders>
              <w:bottom w:val="single" w:sz="4" w:space="0" w:color="auto"/>
            </w:tcBorders>
          </w:tcPr>
          <w:p w14:paraId="5F3F8E8E" w14:textId="77777777" w:rsidR="003E77CA" w:rsidRDefault="003E77CA">
            <w:r>
              <w:t>Faste medisiner etter vanlig premedikasjonsprosedyre.</w:t>
            </w:r>
          </w:p>
          <w:p w14:paraId="244CBBC6" w14:textId="4E6E6FC8" w:rsidR="003E77CA" w:rsidRDefault="003E77C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72D0C2" w14:textId="34C0B4B4" w:rsidR="00F90938" w:rsidRDefault="00F90938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 xml:space="preserve"> «Rutiner for premedikasjon og nulling av medikamenter for pasienter som skal til ortopedisk kirurgi ved OUS Ullevål»</w:t>
            </w:r>
          </w:p>
          <w:p w14:paraId="5FE13548" w14:textId="77777777" w:rsidR="002867A1" w:rsidRDefault="002867A1">
            <w:pPr>
              <w:rPr>
                <w:sz w:val="18"/>
                <w:szCs w:val="18"/>
              </w:rPr>
            </w:pPr>
          </w:p>
          <w:p w14:paraId="2ECC5AC5" w14:textId="5289B85E" w:rsidR="003E77CA" w:rsidRPr="00B44CDA" w:rsidRDefault="003E77CA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t>ID 141108 Legemidler-Kontinuering av fast medikasjon preoperativt</w:t>
            </w:r>
          </w:p>
        </w:tc>
      </w:tr>
      <w:tr w:rsidR="005C0027" w14:paraId="7D53B53C" w14:textId="77777777" w:rsidTr="00F90938">
        <w:tc>
          <w:tcPr>
            <w:tcW w:w="11057" w:type="dxa"/>
            <w:gridSpan w:val="5"/>
            <w:tcBorders>
              <w:bottom w:val="nil"/>
            </w:tcBorders>
            <w:shd w:val="clear" w:color="auto" w:fill="F4B083" w:themeFill="accent2" w:themeFillTint="99"/>
          </w:tcPr>
          <w:p w14:paraId="21092EEF" w14:textId="77777777" w:rsidR="005D3EDB" w:rsidRDefault="005D3EDB" w:rsidP="003E77CA">
            <w:pPr>
              <w:jc w:val="center"/>
              <w:rPr>
                <w:b/>
                <w:sz w:val="36"/>
                <w:szCs w:val="36"/>
              </w:rPr>
            </w:pPr>
          </w:p>
          <w:p w14:paraId="6662557F" w14:textId="77777777" w:rsidR="005D3EDB" w:rsidRDefault="005D3EDB" w:rsidP="003E77CA">
            <w:pPr>
              <w:jc w:val="center"/>
              <w:rPr>
                <w:b/>
                <w:sz w:val="36"/>
                <w:szCs w:val="36"/>
              </w:rPr>
            </w:pPr>
          </w:p>
          <w:p w14:paraId="051B247E" w14:textId="1BAA1131" w:rsidR="003E77CA" w:rsidRPr="003E77CA" w:rsidRDefault="005C0027" w:rsidP="003E77CA">
            <w:pPr>
              <w:jc w:val="center"/>
              <w:rPr>
                <w:b/>
                <w:sz w:val="36"/>
                <w:szCs w:val="36"/>
              </w:rPr>
            </w:pPr>
            <w:r w:rsidRPr="00A560AE">
              <w:rPr>
                <w:b/>
                <w:sz w:val="36"/>
                <w:szCs w:val="36"/>
              </w:rPr>
              <w:lastRenderedPageBreak/>
              <w:t>Peroperativt:</w:t>
            </w:r>
          </w:p>
        </w:tc>
      </w:tr>
      <w:tr w:rsidR="003E77CA" w14:paraId="2B310460" w14:textId="77777777" w:rsidTr="00F90938">
        <w:tc>
          <w:tcPr>
            <w:tcW w:w="2127" w:type="dxa"/>
            <w:tcBorders>
              <w:top w:val="nil"/>
            </w:tcBorders>
            <w:shd w:val="clear" w:color="auto" w:fill="FBE4D5" w:themeFill="accent2" w:themeFillTint="33"/>
          </w:tcPr>
          <w:p w14:paraId="0F5CB93C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lastRenderedPageBreak/>
              <w:t>Type medikament: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E4D5" w:themeFill="accent2" w:themeFillTint="33"/>
          </w:tcPr>
          <w:p w14:paraId="733ADEC7" w14:textId="77777777" w:rsidR="003E77CA" w:rsidRPr="005B538D" w:rsidRDefault="003E77CA" w:rsidP="00A761E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</w:t>
            </w:r>
          </w:p>
          <w:p w14:paraId="34816A09" w14:textId="77777777" w:rsidR="003E77CA" w:rsidRPr="005B538D" w:rsidRDefault="003E77CA" w:rsidP="00A761E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Form: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BE4D5" w:themeFill="accent2" w:themeFillTint="33"/>
          </w:tcPr>
          <w:p w14:paraId="63CDAAEB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Dose: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BE4D5" w:themeFill="accent2" w:themeFillTint="33"/>
          </w:tcPr>
          <w:p w14:paraId="6422D66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Kontraindikasjoner/</w:t>
            </w:r>
          </w:p>
          <w:p w14:paraId="27892ABB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 w:themeFill="accent2" w:themeFillTint="33"/>
          </w:tcPr>
          <w:p w14:paraId="54390992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E-håndboks-dokumenter:</w:t>
            </w:r>
          </w:p>
        </w:tc>
      </w:tr>
      <w:tr w:rsidR="003E77CA" w14:paraId="4844DE7C" w14:textId="77777777" w:rsidTr="003A67D8">
        <w:tc>
          <w:tcPr>
            <w:tcW w:w="2127" w:type="dxa"/>
          </w:tcPr>
          <w:p w14:paraId="1281A4A7" w14:textId="6B974D0F" w:rsidR="003E77CA" w:rsidRDefault="00CE0E8C">
            <w:r>
              <w:t>Cefazolin/k</w:t>
            </w:r>
            <w:r w:rsidR="003E77CA">
              <w:t>linda</w:t>
            </w:r>
            <w:r w:rsidR="00C15D6F">
              <w:t>-</w:t>
            </w:r>
            <w:r w:rsidR="003E77CA">
              <w:t>mycin (dalacin)</w:t>
            </w:r>
          </w:p>
        </w:tc>
        <w:tc>
          <w:tcPr>
            <w:tcW w:w="850" w:type="dxa"/>
          </w:tcPr>
          <w:p w14:paraId="129662FA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2E5FCF29" w14:textId="77777777" w:rsidR="003E77CA" w:rsidRDefault="003E77CA"/>
        </w:tc>
        <w:tc>
          <w:tcPr>
            <w:tcW w:w="4394" w:type="dxa"/>
          </w:tcPr>
          <w:p w14:paraId="2C9B3688" w14:textId="6F78429A" w:rsidR="003E77CA" w:rsidRDefault="003E77CA">
            <w:r>
              <w:t>Skal ha gått inn 15</w:t>
            </w:r>
            <w:r w:rsidR="00CE0E8C">
              <w:t xml:space="preserve"> min (cefazolin)/30 min (klindamycin</w:t>
            </w:r>
            <w:r>
              <w:t>) før knivstart. Sjekk AB allergi, ortoped skal ha krysset av for AB/allergi i operasjonmeldingen i DIPS.</w:t>
            </w:r>
          </w:p>
        </w:tc>
        <w:tc>
          <w:tcPr>
            <w:tcW w:w="1701" w:type="dxa"/>
            <w:shd w:val="clear" w:color="auto" w:fill="FFFFFF" w:themeFill="background1"/>
          </w:tcPr>
          <w:p w14:paraId="5987C2B1" w14:textId="5FDD84DA" w:rsidR="003E77CA" w:rsidRDefault="00F90938">
            <w:r>
              <w:rPr>
                <w:sz w:val="18"/>
                <w:szCs w:val="18"/>
              </w:rPr>
              <w:t>ID «A</w:t>
            </w:r>
            <w:r w:rsidRPr="00B44CDA">
              <w:rPr>
                <w:sz w:val="18"/>
                <w:szCs w:val="18"/>
              </w:rPr>
              <w:t>ntibiotika</w:t>
            </w:r>
            <w:r>
              <w:rPr>
                <w:sz w:val="18"/>
                <w:szCs w:val="18"/>
              </w:rPr>
              <w:t>-profylakse til pasienter som skal til ortopedisk kirurgi ved OUS Ullevål Sykehus</w:t>
            </w:r>
            <w:r w:rsidRPr="00B44CDA">
              <w:rPr>
                <w:sz w:val="18"/>
                <w:szCs w:val="18"/>
              </w:rPr>
              <w:t>»</w:t>
            </w:r>
          </w:p>
        </w:tc>
      </w:tr>
      <w:tr w:rsidR="003E77CA" w14:paraId="5E745BE6" w14:textId="77777777" w:rsidTr="003A67D8">
        <w:tc>
          <w:tcPr>
            <w:tcW w:w="2127" w:type="dxa"/>
          </w:tcPr>
          <w:p w14:paraId="15182141" w14:textId="71EC35B6" w:rsidR="003E77CA" w:rsidRDefault="00987CC2" w:rsidP="00987CC2">
            <w:r>
              <w:t>Traneksamsyre (c</w:t>
            </w:r>
            <w:r w:rsidR="003E77CA">
              <w:t>yklocapron</w:t>
            </w:r>
            <w:r>
              <w:t>)</w:t>
            </w:r>
          </w:p>
        </w:tc>
        <w:tc>
          <w:tcPr>
            <w:tcW w:w="850" w:type="dxa"/>
          </w:tcPr>
          <w:p w14:paraId="59C064CC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44E7CA10" w14:textId="77777777" w:rsidR="003E77CA" w:rsidRDefault="003E77CA">
            <w:r>
              <w:t>1 gram</w:t>
            </w:r>
          </w:p>
          <w:p w14:paraId="0B3FAD7E" w14:textId="77777777" w:rsidR="003E77CA" w:rsidRDefault="003E77CA">
            <w:r>
              <w:t>(lav/høy vekt 10 mg/kg)</w:t>
            </w:r>
          </w:p>
        </w:tc>
        <w:tc>
          <w:tcPr>
            <w:tcW w:w="4394" w:type="dxa"/>
          </w:tcPr>
          <w:p w14:paraId="24EF80E9" w14:textId="7E40FB03" w:rsidR="003E77CA" w:rsidRDefault="003E77CA">
            <w:r>
              <w:t>Gis ikke til pasienter med pågående tro</w:t>
            </w:r>
            <w:r w:rsidR="00A61AD9">
              <w:t>mboembolisk tilstand (DVT/LE). Konf kirurg hos pasienter m/Leiden mutasjon.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311EB9" w14:textId="06DE56B3" w:rsidR="003E77CA" w:rsidRPr="00B44CDA" w:rsidRDefault="003E77CA">
            <w:pPr>
              <w:rPr>
                <w:sz w:val="18"/>
                <w:szCs w:val="18"/>
              </w:rPr>
            </w:pPr>
          </w:p>
        </w:tc>
      </w:tr>
      <w:tr w:rsidR="003E77CA" w14:paraId="06704328" w14:textId="77777777" w:rsidTr="003A67D8">
        <w:tc>
          <w:tcPr>
            <w:tcW w:w="2127" w:type="dxa"/>
          </w:tcPr>
          <w:p w14:paraId="5F99C665" w14:textId="4545DF8F" w:rsidR="003E77CA" w:rsidRDefault="009117A9">
            <w:r>
              <w:t>S</w:t>
            </w:r>
            <w:r w:rsidR="003E77CA">
              <w:t>evofluran</w:t>
            </w:r>
          </w:p>
          <w:p w14:paraId="295CFD30" w14:textId="77777777" w:rsidR="003E77CA" w:rsidRDefault="003E77CA">
            <w:r>
              <w:t>med fentanyl</w:t>
            </w:r>
          </w:p>
        </w:tc>
        <w:tc>
          <w:tcPr>
            <w:tcW w:w="850" w:type="dxa"/>
          </w:tcPr>
          <w:p w14:paraId="6F69F4E0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4EE4186E" w14:textId="77777777" w:rsidR="003E77CA" w:rsidRPr="00555D50" w:rsidRDefault="003E77CA">
            <w:r>
              <w:t>Ved tillegg av remifentanyl bruk lavdose</w:t>
            </w:r>
          </w:p>
          <w:p w14:paraId="1F8A12E6" w14:textId="77777777" w:rsidR="003E77CA" w:rsidRDefault="003E77CA">
            <w:r w:rsidRPr="00CE0E8C">
              <w:rPr>
                <w:lang w:val="en-US"/>
              </w:rPr>
              <w:t xml:space="preserve">(0,1- 0,2 mikrogr/kg/min= ca 2,5- 5ng/ml TCI v/steady state. </w:t>
            </w:r>
            <w:r>
              <w:t xml:space="preserve">Gir mindre hyperalgesi postoperativt) </w:t>
            </w:r>
          </w:p>
        </w:tc>
        <w:tc>
          <w:tcPr>
            <w:tcW w:w="4394" w:type="dxa"/>
          </w:tcPr>
          <w:p w14:paraId="0F03BA5B" w14:textId="77777777" w:rsidR="003E77CA" w:rsidRDefault="003E77CA" w:rsidP="00493A7E">
            <w:r>
              <w:t>Evt TIVA (propofol/lavdose remifentanyl)</w:t>
            </w:r>
          </w:p>
          <w:p w14:paraId="1D10DC66" w14:textId="484C2EC1" w:rsidR="003E77CA" w:rsidRDefault="00DF643C" w:rsidP="00493A7E">
            <w:r>
              <w:t>A</w:t>
            </w:r>
            <w:r w:rsidR="003E77CA">
              <w:t>vslutt siste 30-60 min av anestesien med propofol i stedet for gass- redusere kvalme</w:t>
            </w:r>
          </w:p>
        </w:tc>
        <w:tc>
          <w:tcPr>
            <w:tcW w:w="1701" w:type="dxa"/>
            <w:shd w:val="clear" w:color="auto" w:fill="FFFFFF" w:themeFill="background1"/>
          </w:tcPr>
          <w:p w14:paraId="2AE3F665" w14:textId="77777777" w:rsidR="003E77CA" w:rsidRDefault="003E77CA" w:rsidP="00493A7E"/>
        </w:tc>
      </w:tr>
      <w:tr w:rsidR="00AA18B8" w:rsidRPr="00C910BC" w14:paraId="36880040" w14:textId="77777777" w:rsidTr="003A67D8">
        <w:tc>
          <w:tcPr>
            <w:tcW w:w="2127" w:type="dxa"/>
          </w:tcPr>
          <w:p w14:paraId="3B512806" w14:textId="77777777" w:rsidR="00C910BC" w:rsidRPr="00C910BC" w:rsidRDefault="00C910BC">
            <w:pPr>
              <w:rPr>
                <w:u w:val="single"/>
              </w:rPr>
            </w:pPr>
            <w:r w:rsidRPr="00C910BC">
              <w:rPr>
                <w:u w:val="single"/>
              </w:rPr>
              <w:t>Ved bruk av nervestimulator</w:t>
            </w:r>
          </w:p>
          <w:p w14:paraId="614267AE" w14:textId="195BE98F" w:rsidR="009C5BCB" w:rsidRDefault="009C5BCB">
            <w:r>
              <w:t>(skal stå i oppmeldingsskjema fra ortoped)</w:t>
            </w:r>
            <w:r w:rsidR="00C910BC">
              <w:t>:</w:t>
            </w:r>
          </w:p>
          <w:p w14:paraId="23226663" w14:textId="779FDE28" w:rsidR="00C910BC" w:rsidRDefault="00C910BC">
            <w:r>
              <w:t>TIVA</w:t>
            </w:r>
          </w:p>
        </w:tc>
        <w:tc>
          <w:tcPr>
            <w:tcW w:w="850" w:type="dxa"/>
          </w:tcPr>
          <w:p w14:paraId="79BEA992" w14:textId="52C18252" w:rsidR="00AA18B8" w:rsidRDefault="00AA18B8">
            <w:r>
              <w:t>iv</w:t>
            </w:r>
          </w:p>
        </w:tc>
        <w:tc>
          <w:tcPr>
            <w:tcW w:w="1985" w:type="dxa"/>
          </w:tcPr>
          <w:p w14:paraId="220057AC" w14:textId="6B97E355" w:rsidR="00AA18B8" w:rsidRDefault="00A61AD9">
            <w:r>
              <w:t>Remi/fentanyl</w:t>
            </w:r>
            <w:r w:rsidR="00AA18B8">
              <w:t>/</w:t>
            </w:r>
          </w:p>
          <w:p w14:paraId="227C3C6E" w14:textId="6D2AE782" w:rsidR="00AA18B8" w:rsidRDefault="00AA18B8">
            <w:r>
              <w:t>propofol</w:t>
            </w:r>
          </w:p>
        </w:tc>
        <w:tc>
          <w:tcPr>
            <w:tcW w:w="4394" w:type="dxa"/>
          </w:tcPr>
          <w:p w14:paraId="1326FB24" w14:textId="453A427D" w:rsidR="00AA18B8" w:rsidRDefault="00AA18B8" w:rsidP="009C5BCB">
            <w:r>
              <w:t xml:space="preserve">Kirurgene kan i enkelte tilfeller bruke nervestimulator. Pasienten skal ha TIVA og ikke gass, kan innledes med muskelrelaks, men skal ikke ha </w:t>
            </w:r>
            <w:r w:rsidR="009C5BCB">
              <w:t>påfyllingsdoser</w:t>
            </w:r>
            <w:r>
              <w:t xml:space="preserve"> utover i operasjonen når nervestimulator skal benyttes. </w:t>
            </w:r>
          </w:p>
        </w:tc>
        <w:tc>
          <w:tcPr>
            <w:tcW w:w="1701" w:type="dxa"/>
            <w:shd w:val="clear" w:color="auto" w:fill="FFFFFF" w:themeFill="background1"/>
          </w:tcPr>
          <w:p w14:paraId="4C4B5B0E" w14:textId="77777777" w:rsidR="00AA18B8" w:rsidRPr="00FC4A34" w:rsidRDefault="00130F41" w:rsidP="00493A7E">
            <w:pPr>
              <w:rPr>
                <w:sz w:val="18"/>
                <w:szCs w:val="18"/>
              </w:rPr>
            </w:pPr>
            <w:r w:rsidRPr="00FC4A34">
              <w:rPr>
                <w:sz w:val="18"/>
                <w:szCs w:val="18"/>
              </w:rPr>
              <w:t>ID 128455</w:t>
            </w:r>
          </w:p>
          <w:p w14:paraId="597D49E0" w14:textId="3B00A0C3" w:rsidR="00130F41" w:rsidRPr="00C910BC" w:rsidRDefault="00130F41" w:rsidP="00130F41">
            <w:pPr>
              <w:rPr>
                <w:sz w:val="18"/>
                <w:szCs w:val="18"/>
              </w:rPr>
            </w:pPr>
            <w:r w:rsidRPr="00C910BC">
              <w:rPr>
                <w:sz w:val="18"/>
                <w:szCs w:val="18"/>
              </w:rPr>
              <w:t>Nevrokirurgi-NIM (Nerve Integrity Monitor) stimulering ved intrakranielle og spinale inngrep</w:t>
            </w:r>
          </w:p>
        </w:tc>
      </w:tr>
      <w:tr w:rsidR="003E77CA" w14:paraId="7DB82F55" w14:textId="77777777" w:rsidTr="003A67D8">
        <w:tc>
          <w:tcPr>
            <w:tcW w:w="2127" w:type="dxa"/>
          </w:tcPr>
          <w:p w14:paraId="1BCD0D6E" w14:textId="77777777" w:rsidR="003E77CA" w:rsidRDefault="003E77CA" w:rsidP="00555D50">
            <w:r>
              <w:t>Esketamin</w:t>
            </w:r>
          </w:p>
        </w:tc>
        <w:tc>
          <w:tcPr>
            <w:tcW w:w="850" w:type="dxa"/>
          </w:tcPr>
          <w:p w14:paraId="2488FBC5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362F80FF" w14:textId="77777777" w:rsidR="003E77CA" w:rsidRDefault="003E77CA">
            <w:r>
              <w:t>0,5 mg/kg</w:t>
            </w:r>
          </w:p>
        </w:tc>
        <w:tc>
          <w:tcPr>
            <w:tcW w:w="4394" w:type="dxa"/>
          </w:tcPr>
          <w:p w14:paraId="5774749A" w14:textId="77777777" w:rsidR="003E77CA" w:rsidRDefault="003E77CA">
            <w:r>
              <w:t>Bolus etter innledning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29AA1A1A" w14:textId="77777777" w:rsidR="003E77CA" w:rsidRPr="00B44CDA" w:rsidRDefault="003E77CA" w:rsidP="00384102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t>ID 132049 Legemidler-esketamin (Ketanest)</w:t>
            </w:r>
          </w:p>
        </w:tc>
      </w:tr>
      <w:tr w:rsidR="003E77CA" w14:paraId="61ACA45B" w14:textId="77777777" w:rsidTr="003A67D8">
        <w:tc>
          <w:tcPr>
            <w:tcW w:w="2127" w:type="dxa"/>
          </w:tcPr>
          <w:p w14:paraId="1DFCD28E" w14:textId="77777777" w:rsidR="003E77CA" w:rsidRDefault="003E77CA">
            <w:r>
              <w:t>Esketamin</w:t>
            </w:r>
          </w:p>
        </w:tc>
        <w:tc>
          <w:tcPr>
            <w:tcW w:w="850" w:type="dxa"/>
          </w:tcPr>
          <w:p w14:paraId="07266309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66B214C1" w14:textId="77777777" w:rsidR="003E77CA" w:rsidRDefault="003E77CA">
            <w:r>
              <w:t>0,3 mg/kg/t</w:t>
            </w:r>
          </w:p>
        </w:tc>
        <w:tc>
          <w:tcPr>
            <w:tcW w:w="4394" w:type="dxa"/>
          </w:tcPr>
          <w:p w14:paraId="58D30AB3" w14:textId="75C7DA24" w:rsidR="003E77CA" w:rsidRDefault="00FE66EA">
            <w:r>
              <w:t>Infusjon perioperativt. Stopp 45 min før kirurgislutt</w:t>
            </w:r>
            <w:r w:rsidR="003E77CA"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334E6605" w14:textId="77777777" w:rsidR="003E77CA" w:rsidRDefault="003E77CA"/>
        </w:tc>
      </w:tr>
      <w:tr w:rsidR="003E77CA" w14:paraId="509EE0DB" w14:textId="77777777" w:rsidTr="003A67D8">
        <w:tc>
          <w:tcPr>
            <w:tcW w:w="2127" w:type="dxa"/>
          </w:tcPr>
          <w:p w14:paraId="372A2F65" w14:textId="77777777" w:rsidR="003E77CA" w:rsidRDefault="003E77CA">
            <w:r>
              <w:t>Rokuronium/cisa</w:t>
            </w:r>
            <w:r w:rsidR="00C15D6F">
              <w:t>-</w:t>
            </w:r>
            <w:r>
              <w:t>trakurium</w:t>
            </w:r>
          </w:p>
        </w:tc>
        <w:tc>
          <w:tcPr>
            <w:tcW w:w="850" w:type="dxa"/>
          </w:tcPr>
          <w:p w14:paraId="68690497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1FE1F8F6" w14:textId="77777777" w:rsidR="003E77CA" w:rsidRDefault="003E77CA"/>
        </w:tc>
        <w:tc>
          <w:tcPr>
            <w:tcW w:w="4394" w:type="dxa"/>
          </w:tcPr>
          <w:p w14:paraId="3B18C29E" w14:textId="77777777" w:rsidR="003E77CA" w:rsidRDefault="003E77CA"/>
        </w:tc>
        <w:tc>
          <w:tcPr>
            <w:tcW w:w="1701" w:type="dxa"/>
            <w:shd w:val="clear" w:color="auto" w:fill="FFFFFF" w:themeFill="background1"/>
          </w:tcPr>
          <w:p w14:paraId="3FEF0BA7" w14:textId="57674930" w:rsidR="003E77CA" w:rsidRPr="00B44CDA" w:rsidRDefault="003E77CA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t>I</w:t>
            </w:r>
            <w:r w:rsidR="001227E8">
              <w:rPr>
                <w:sz w:val="18"/>
                <w:szCs w:val="18"/>
              </w:rPr>
              <w:t xml:space="preserve">D 129372 </w:t>
            </w:r>
            <w:r w:rsidRPr="00B44CDA">
              <w:rPr>
                <w:sz w:val="18"/>
                <w:szCs w:val="18"/>
              </w:rPr>
              <w:t>TOF</w:t>
            </w:r>
          </w:p>
        </w:tc>
      </w:tr>
      <w:tr w:rsidR="003E77CA" w14:paraId="264C47D2" w14:textId="77777777" w:rsidTr="003A67D8">
        <w:tc>
          <w:tcPr>
            <w:tcW w:w="2127" w:type="dxa"/>
          </w:tcPr>
          <w:p w14:paraId="7A250D91" w14:textId="77777777" w:rsidR="003E77CA" w:rsidRDefault="003E77CA">
            <w:r>
              <w:t>Ondansetron</w:t>
            </w:r>
          </w:p>
        </w:tc>
        <w:tc>
          <w:tcPr>
            <w:tcW w:w="850" w:type="dxa"/>
          </w:tcPr>
          <w:p w14:paraId="7A8675F9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1368CCDE" w14:textId="77777777" w:rsidR="003E77CA" w:rsidRDefault="003E77CA">
            <w:r>
              <w:t>4 mg</w:t>
            </w:r>
          </w:p>
        </w:tc>
        <w:tc>
          <w:tcPr>
            <w:tcW w:w="4394" w:type="dxa"/>
          </w:tcPr>
          <w:p w14:paraId="7082B8D0" w14:textId="77777777" w:rsidR="003E77CA" w:rsidRDefault="003E77CA"/>
        </w:tc>
        <w:tc>
          <w:tcPr>
            <w:tcW w:w="1701" w:type="dxa"/>
            <w:shd w:val="clear" w:color="auto" w:fill="FFFFFF" w:themeFill="background1"/>
          </w:tcPr>
          <w:p w14:paraId="61F8F141" w14:textId="77777777" w:rsidR="003E77CA" w:rsidRPr="00B44CDA" w:rsidRDefault="003E77CA">
            <w:pPr>
              <w:rPr>
                <w:sz w:val="18"/>
                <w:szCs w:val="18"/>
              </w:rPr>
            </w:pPr>
          </w:p>
        </w:tc>
      </w:tr>
      <w:tr w:rsidR="00A820D1" w14:paraId="4F767F99" w14:textId="77777777" w:rsidTr="00F90938">
        <w:tc>
          <w:tcPr>
            <w:tcW w:w="11057" w:type="dxa"/>
            <w:gridSpan w:val="5"/>
            <w:shd w:val="clear" w:color="auto" w:fill="FBE4D5" w:themeFill="accent2" w:themeFillTint="33"/>
          </w:tcPr>
          <w:p w14:paraId="0A93497A" w14:textId="0FD2335C" w:rsidR="00A820D1" w:rsidRPr="00A820D1" w:rsidRDefault="00A820D1" w:rsidP="00A8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Diskuter med ortoped under trygg kirurgi</w:t>
            </w:r>
          </w:p>
        </w:tc>
      </w:tr>
      <w:tr w:rsidR="00A820D1" w14:paraId="0DA056C5" w14:textId="77777777" w:rsidTr="00A820D1">
        <w:tc>
          <w:tcPr>
            <w:tcW w:w="2127" w:type="dxa"/>
            <w:shd w:val="clear" w:color="auto" w:fill="FFFFFF" w:themeFill="background1"/>
          </w:tcPr>
          <w:p w14:paraId="1CF91262" w14:textId="77777777" w:rsidR="00A820D1" w:rsidRDefault="00DD57F3">
            <w:r>
              <w:t>Epidural</w:t>
            </w:r>
          </w:p>
          <w:p w14:paraId="14E42610" w14:textId="77777777" w:rsidR="00DD57F3" w:rsidRDefault="00DD57F3"/>
          <w:p w14:paraId="5D20E313" w14:textId="77777777" w:rsidR="00DD57F3" w:rsidRDefault="00DD57F3"/>
          <w:p w14:paraId="06FFF7B8" w14:textId="77777777" w:rsidR="00DD57F3" w:rsidRDefault="00DD57F3"/>
          <w:p w14:paraId="326D0FBE" w14:textId="77777777" w:rsidR="00DD57F3" w:rsidRDefault="00DD57F3"/>
          <w:p w14:paraId="37145E3C" w14:textId="29E1FF4A" w:rsidR="009A0014" w:rsidRDefault="009A0014">
            <w:r>
              <w:t>eller</w:t>
            </w:r>
          </w:p>
          <w:p w14:paraId="2C8D0F7C" w14:textId="77777777" w:rsidR="009A0014" w:rsidRDefault="009A0014">
            <w:r>
              <w:t>Morfin</w:t>
            </w:r>
          </w:p>
          <w:p w14:paraId="6B3287A4" w14:textId="77777777" w:rsidR="00D7596C" w:rsidRDefault="00D7596C"/>
          <w:p w14:paraId="193B51D7" w14:textId="76E2C239" w:rsidR="00D7596C" w:rsidRDefault="00D7596C"/>
        </w:tc>
        <w:tc>
          <w:tcPr>
            <w:tcW w:w="850" w:type="dxa"/>
            <w:shd w:val="clear" w:color="auto" w:fill="FFFFFF" w:themeFill="background1"/>
          </w:tcPr>
          <w:p w14:paraId="2A3D0516" w14:textId="77777777" w:rsidR="00A820D1" w:rsidRDefault="00DD57F3">
            <w:r>
              <w:t>EDK</w:t>
            </w:r>
          </w:p>
          <w:p w14:paraId="4653245D" w14:textId="77777777" w:rsidR="009A0014" w:rsidRDefault="009A0014"/>
          <w:p w14:paraId="60F8FE2A" w14:textId="77777777" w:rsidR="009A0014" w:rsidRDefault="009A0014"/>
          <w:p w14:paraId="4193EF3D" w14:textId="77777777" w:rsidR="009A0014" w:rsidRDefault="009A0014"/>
          <w:p w14:paraId="38CE1BE6" w14:textId="77777777" w:rsidR="009A0014" w:rsidRDefault="009A0014"/>
          <w:p w14:paraId="6B9B82C6" w14:textId="77777777" w:rsidR="009A0014" w:rsidRDefault="009A0014"/>
          <w:p w14:paraId="57779A28" w14:textId="77777777" w:rsidR="009A0014" w:rsidRDefault="009A0014">
            <w:r>
              <w:t>Intra-</w:t>
            </w:r>
          </w:p>
          <w:p w14:paraId="13BF5FC7" w14:textId="1601A084" w:rsidR="009A0014" w:rsidRDefault="009A0014">
            <w:r>
              <w:t>tekalt</w:t>
            </w:r>
          </w:p>
        </w:tc>
        <w:tc>
          <w:tcPr>
            <w:tcW w:w="1985" w:type="dxa"/>
            <w:shd w:val="clear" w:color="auto" w:fill="FFFFFF" w:themeFill="background1"/>
          </w:tcPr>
          <w:p w14:paraId="376B1563" w14:textId="77777777" w:rsidR="009A0014" w:rsidRDefault="009A0014" w:rsidP="00DD57F3"/>
          <w:p w14:paraId="4D4FDA6E" w14:textId="77777777" w:rsidR="009A0014" w:rsidRDefault="009A0014" w:rsidP="00DD57F3"/>
          <w:p w14:paraId="1CBC7928" w14:textId="77777777" w:rsidR="009A0014" w:rsidRDefault="009A0014" w:rsidP="00DD57F3"/>
          <w:p w14:paraId="35685452" w14:textId="77777777" w:rsidR="009A0014" w:rsidRDefault="009A0014" w:rsidP="00DD57F3"/>
          <w:p w14:paraId="4C671FB1" w14:textId="77777777" w:rsidR="009A0014" w:rsidRDefault="009A0014" w:rsidP="00DD57F3"/>
          <w:p w14:paraId="1CF51C34" w14:textId="516DA009" w:rsidR="009A0014" w:rsidRDefault="009A0014" w:rsidP="00DD57F3"/>
          <w:p w14:paraId="522AD72F" w14:textId="30FD7139" w:rsidR="009A0014" w:rsidRDefault="009117A9" w:rsidP="00DD57F3">
            <w:r>
              <w:t>100-200</w:t>
            </w:r>
            <w:r w:rsidR="009A0014">
              <w:t xml:space="preserve"> mikrogram</w:t>
            </w:r>
          </w:p>
          <w:p w14:paraId="2FCA1163" w14:textId="3081F9CF" w:rsidR="00D7596C" w:rsidRDefault="00D7596C" w:rsidP="00DD57F3"/>
        </w:tc>
        <w:tc>
          <w:tcPr>
            <w:tcW w:w="4394" w:type="dxa"/>
            <w:shd w:val="clear" w:color="auto" w:fill="FFFFFF" w:themeFill="background1"/>
          </w:tcPr>
          <w:p w14:paraId="67AF5792" w14:textId="21B5EDC3" w:rsidR="00DD57F3" w:rsidRDefault="00CD05B0" w:rsidP="00DD57F3">
            <w:r>
              <w:t>Inngrepets art avgjør om</w:t>
            </w:r>
            <w:r w:rsidR="00DD57F3">
              <w:t xml:space="preserve"> ortoped </w:t>
            </w:r>
            <w:r>
              <w:t xml:space="preserve">legger </w:t>
            </w:r>
            <w:r w:rsidR="00DD57F3">
              <w:t>epidural perop</w:t>
            </w:r>
            <w:r>
              <w:t xml:space="preserve">erativt. Ortoped </w:t>
            </w:r>
            <w:r w:rsidR="00DD57F3">
              <w:t>dokumenter</w:t>
            </w:r>
            <w:r>
              <w:t>er</w:t>
            </w:r>
            <w:r w:rsidR="00DD57F3">
              <w:t xml:space="preserve"> i operasjonsbeskrivelse</w:t>
            </w:r>
            <w:r>
              <w:t xml:space="preserve">. </w:t>
            </w:r>
            <w:r w:rsidR="00DD57F3">
              <w:t>Videre forordning</w:t>
            </w:r>
            <w:r>
              <w:t>er i MV</w:t>
            </w:r>
            <w:r w:rsidR="00DD57F3">
              <w:t xml:space="preserve"> av anestesilege</w:t>
            </w:r>
            <w:r w:rsidR="00D7596C">
              <w:t>, EDA aktiveres på po</w:t>
            </w:r>
            <w:r w:rsidR="00E81C1B">
              <w:t>- se under postoperativt 0. døgn</w:t>
            </w:r>
          </w:p>
          <w:p w14:paraId="4CBF6AA2" w14:textId="77777777" w:rsidR="00DD57F3" w:rsidRDefault="00DD57F3" w:rsidP="00DD57F3"/>
          <w:p w14:paraId="6325081D" w14:textId="5ABB44F4" w:rsidR="009A0014" w:rsidRDefault="009A0014" w:rsidP="009A0014">
            <w:r>
              <w:t>Settes av kirurg peroperativt</w:t>
            </w:r>
            <w:r w:rsidR="001D1416">
              <w:t xml:space="preserve"> dersom ikke EDK legges.</w:t>
            </w:r>
          </w:p>
          <w:p w14:paraId="7609D05D" w14:textId="7CD27A51" w:rsidR="00D7596C" w:rsidRDefault="00B33CF7" w:rsidP="009A0014">
            <w:r>
              <w:rPr>
                <w:color w:val="FF0000"/>
              </w:rPr>
              <w:t>BØR</w:t>
            </w:r>
            <w:r w:rsidR="00F90938" w:rsidRPr="00F90938">
              <w:rPr>
                <w:color w:val="FF0000"/>
              </w:rPr>
              <w:t xml:space="preserve"> VÆRE OVERLIGGER PÅ PO</w:t>
            </w:r>
            <w:r w:rsidR="009A0695">
              <w:rPr>
                <w:color w:val="FF0000"/>
              </w:rPr>
              <w:t xml:space="preserve"> (minimum 12 timer post op.)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718B71F9" w14:textId="77777777" w:rsidR="00A820D1" w:rsidRPr="00B44CDA" w:rsidRDefault="00A820D1">
            <w:pPr>
              <w:rPr>
                <w:sz w:val="18"/>
                <w:szCs w:val="18"/>
              </w:rPr>
            </w:pPr>
          </w:p>
        </w:tc>
      </w:tr>
      <w:tr w:rsidR="009A6152" w14:paraId="66E60C58" w14:textId="77777777" w:rsidTr="00F90938">
        <w:tc>
          <w:tcPr>
            <w:tcW w:w="11057" w:type="dxa"/>
            <w:gridSpan w:val="5"/>
            <w:shd w:val="clear" w:color="auto" w:fill="FBE4D5" w:themeFill="accent2" w:themeFillTint="33"/>
          </w:tcPr>
          <w:p w14:paraId="576C0AC5" w14:textId="77777777" w:rsidR="009A6152" w:rsidRPr="005B538D" w:rsidRDefault="009A6152" w:rsidP="00312D43">
            <w:pPr>
              <w:jc w:val="center"/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Vurder ut fra pasientens behov:</w:t>
            </w:r>
          </w:p>
        </w:tc>
      </w:tr>
      <w:tr w:rsidR="003E77CA" w14:paraId="6C7EDFDB" w14:textId="77777777" w:rsidTr="003A67D8">
        <w:tc>
          <w:tcPr>
            <w:tcW w:w="2127" w:type="dxa"/>
          </w:tcPr>
          <w:p w14:paraId="22747193" w14:textId="06C6F33C" w:rsidR="003E77CA" w:rsidRDefault="00C0352A">
            <w:r>
              <w:t>Lidok</w:t>
            </w:r>
            <w:r w:rsidR="003E77CA">
              <w:t>ain</w:t>
            </w:r>
          </w:p>
        </w:tc>
        <w:tc>
          <w:tcPr>
            <w:tcW w:w="850" w:type="dxa"/>
          </w:tcPr>
          <w:p w14:paraId="6835D391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7402403C" w14:textId="6D1B9FE8" w:rsidR="003E77CA" w:rsidRDefault="00C0352A" w:rsidP="00D949F0">
            <w:r>
              <w:t>Lidok</w:t>
            </w:r>
            <w:r w:rsidR="003E77CA">
              <w:t>ain 10 mg/ml Oppstartbolus 1 mg/kg (IBW) over 10 min.</w:t>
            </w:r>
          </w:p>
          <w:p w14:paraId="03283289" w14:textId="77777777" w:rsidR="001E3DE7" w:rsidRDefault="003E77CA" w:rsidP="001E3DE7">
            <w:r>
              <w:lastRenderedPageBreak/>
              <w:t xml:space="preserve">Infusjon 2 mg/kg/t peroperativt </w:t>
            </w:r>
            <w:r w:rsidR="001E3DE7">
              <w:t>.</w:t>
            </w:r>
          </w:p>
          <w:p w14:paraId="3055CAB4" w14:textId="135A376E" w:rsidR="003E77CA" w:rsidRDefault="00C0352A" w:rsidP="001E3DE7">
            <w:r>
              <w:t>Kan ha effekt av kun bolus.</w:t>
            </w:r>
          </w:p>
        </w:tc>
        <w:tc>
          <w:tcPr>
            <w:tcW w:w="4394" w:type="dxa"/>
          </w:tcPr>
          <w:p w14:paraId="664E21D2" w14:textId="27CE28A4" w:rsidR="003E77CA" w:rsidRDefault="003E77CA" w:rsidP="00D949F0">
            <w:r>
              <w:lastRenderedPageBreak/>
              <w:t>Dersom pasienten skal h</w:t>
            </w:r>
            <w:r w:rsidR="00C0352A">
              <w:t>a epidural, stopp lidok</w:t>
            </w:r>
            <w:r>
              <w:t xml:space="preserve">ain </w:t>
            </w:r>
            <w:r w:rsidR="001E3DE7">
              <w:t>6</w:t>
            </w:r>
            <w:r w:rsidR="00C0352A">
              <w:t>0 min. før kirurgislutt</w:t>
            </w:r>
            <w:r w:rsidR="0057757B">
              <w:t xml:space="preserve">, </w:t>
            </w:r>
            <w:r w:rsidR="00C0352A">
              <w:t>EDA aktiveres på po., tidligst 2 timer e lidok</w:t>
            </w:r>
            <w:r w:rsidR="0057757B">
              <w:t>ain infusjon</w:t>
            </w:r>
            <w:r w:rsidR="00C0352A">
              <w:t xml:space="preserve"> er</w:t>
            </w:r>
            <w:r w:rsidR="0057757B">
              <w:t xml:space="preserve"> stoppet.</w:t>
            </w:r>
          </w:p>
          <w:p w14:paraId="3CB6393D" w14:textId="4D87223B" w:rsidR="003E77CA" w:rsidRDefault="003E77CA" w:rsidP="00D949F0"/>
        </w:tc>
        <w:tc>
          <w:tcPr>
            <w:tcW w:w="1701" w:type="dxa"/>
            <w:shd w:val="clear" w:color="auto" w:fill="FFFFFF" w:themeFill="background1"/>
          </w:tcPr>
          <w:p w14:paraId="35BE9C4C" w14:textId="09056501" w:rsidR="003E77CA" w:rsidRPr="00B44CDA" w:rsidRDefault="003E77CA" w:rsidP="00232ED9">
            <w:pPr>
              <w:rPr>
                <w:sz w:val="18"/>
                <w:szCs w:val="18"/>
              </w:rPr>
            </w:pPr>
            <w:r w:rsidRPr="00B44CDA">
              <w:rPr>
                <w:sz w:val="18"/>
                <w:szCs w:val="18"/>
              </w:rPr>
              <w:lastRenderedPageBreak/>
              <w:t>ID 1308</w:t>
            </w:r>
            <w:r w:rsidR="00C0352A">
              <w:rPr>
                <w:sz w:val="18"/>
                <w:szCs w:val="18"/>
              </w:rPr>
              <w:t>69 Perioperativ intravenøs lidok</w:t>
            </w:r>
            <w:r w:rsidRPr="00B44CDA">
              <w:rPr>
                <w:sz w:val="18"/>
                <w:szCs w:val="18"/>
              </w:rPr>
              <w:t xml:space="preserve">aininfusjon for </w:t>
            </w:r>
            <w:r w:rsidRPr="00B44CDA">
              <w:rPr>
                <w:sz w:val="18"/>
                <w:szCs w:val="18"/>
              </w:rPr>
              <w:lastRenderedPageBreak/>
              <w:t>postoperativ smertebehandling</w:t>
            </w:r>
          </w:p>
        </w:tc>
      </w:tr>
      <w:tr w:rsidR="003E77CA" w14:paraId="533DABBB" w14:textId="77777777" w:rsidTr="003A67D8">
        <w:tc>
          <w:tcPr>
            <w:tcW w:w="2127" w:type="dxa"/>
          </w:tcPr>
          <w:p w14:paraId="5A5EC300" w14:textId="7D4B7225" w:rsidR="003E77CA" w:rsidRDefault="00E83C64">
            <w:r>
              <w:lastRenderedPageBreak/>
              <w:t>Klonidin (catapresan)</w:t>
            </w:r>
          </w:p>
        </w:tc>
        <w:tc>
          <w:tcPr>
            <w:tcW w:w="850" w:type="dxa"/>
          </w:tcPr>
          <w:p w14:paraId="006BCD51" w14:textId="77777777" w:rsidR="003E77CA" w:rsidRDefault="003E77CA">
            <w:r>
              <w:t>iv</w:t>
            </w:r>
          </w:p>
        </w:tc>
        <w:tc>
          <w:tcPr>
            <w:tcW w:w="1985" w:type="dxa"/>
          </w:tcPr>
          <w:p w14:paraId="42B048A2" w14:textId="77777777" w:rsidR="003E77CA" w:rsidRDefault="003E77CA">
            <w:r>
              <w:t>25-75 mikrogram</w:t>
            </w:r>
          </w:p>
        </w:tc>
        <w:tc>
          <w:tcPr>
            <w:tcW w:w="4394" w:type="dxa"/>
          </w:tcPr>
          <w:p w14:paraId="7FDF4F22" w14:textId="77777777" w:rsidR="003E77CA" w:rsidRDefault="003E77CA">
            <w:r>
              <w:t>Kan gi bradycardi, hypotensjon, sedasjon</w:t>
            </w:r>
          </w:p>
        </w:tc>
        <w:tc>
          <w:tcPr>
            <w:tcW w:w="1701" w:type="dxa"/>
            <w:shd w:val="clear" w:color="auto" w:fill="FFFFFF" w:themeFill="background1"/>
          </w:tcPr>
          <w:p w14:paraId="34EBC051" w14:textId="6F4ECC69" w:rsidR="003E77CA" w:rsidRPr="00B44CDA" w:rsidRDefault="003E77CA">
            <w:pPr>
              <w:rPr>
                <w:sz w:val="18"/>
                <w:szCs w:val="18"/>
              </w:rPr>
            </w:pPr>
          </w:p>
        </w:tc>
      </w:tr>
      <w:tr w:rsidR="003E77CA" w14:paraId="7D4A6FF1" w14:textId="77777777" w:rsidTr="003A67D8">
        <w:tc>
          <w:tcPr>
            <w:tcW w:w="2127" w:type="dxa"/>
            <w:tcBorders>
              <w:bottom w:val="single" w:sz="4" w:space="0" w:color="auto"/>
            </w:tcBorders>
          </w:tcPr>
          <w:p w14:paraId="7FF209A2" w14:textId="77777777" w:rsidR="003E77CA" w:rsidRDefault="003E77CA">
            <w:r>
              <w:t>Dridol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6890DA" w14:textId="77777777" w:rsidR="003E77CA" w:rsidRDefault="003E77CA">
            <w:r>
              <w:t>iv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89BE8E" w14:textId="77777777" w:rsidR="003E77CA" w:rsidRDefault="003E77CA">
            <w:r>
              <w:t>0,625- 1,25 mg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6032BE" w14:textId="77777777" w:rsidR="003E77CA" w:rsidRDefault="003E77CA">
            <w:r>
              <w:t>Pasienter med kjent POKO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75EBD" w14:textId="77777777" w:rsidR="003E77CA" w:rsidRDefault="003E77CA"/>
        </w:tc>
      </w:tr>
      <w:tr w:rsidR="00187588" w14:paraId="68BED7A8" w14:textId="77777777" w:rsidTr="00F90938">
        <w:tc>
          <w:tcPr>
            <w:tcW w:w="11057" w:type="dxa"/>
            <w:gridSpan w:val="5"/>
            <w:tcBorders>
              <w:bottom w:val="nil"/>
            </w:tcBorders>
            <w:shd w:val="clear" w:color="auto" w:fill="F4B083" w:themeFill="accent2" w:themeFillTint="99"/>
          </w:tcPr>
          <w:p w14:paraId="6BB0627A" w14:textId="0B735EF5" w:rsidR="00187588" w:rsidRPr="009A0014" w:rsidRDefault="00187588" w:rsidP="009A0014">
            <w:pPr>
              <w:jc w:val="center"/>
              <w:rPr>
                <w:b/>
                <w:sz w:val="36"/>
                <w:szCs w:val="36"/>
              </w:rPr>
            </w:pPr>
            <w:r w:rsidRPr="00A560AE">
              <w:rPr>
                <w:b/>
                <w:sz w:val="36"/>
                <w:szCs w:val="36"/>
              </w:rPr>
              <w:t>Postoperativt</w:t>
            </w:r>
            <w:r w:rsidR="009A0014">
              <w:rPr>
                <w:b/>
                <w:sz w:val="36"/>
                <w:szCs w:val="36"/>
              </w:rPr>
              <w:t xml:space="preserve"> 0.døgn</w:t>
            </w:r>
            <w:r w:rsidRPr="00A560AE">
              <w:rPr>
                <w:b/>
                <w:sz w:val="36"/>
                <w:szCs w:val="36"/>
              </w:rPr>
              <w:t>:</w:t>
            </w:r>
          </w:p>
        </w:tc>
      </w:tr>
      <w:tr w:rsidR="003E77CA" w14:paraId="38B4A214" w14:textId="77777777" w:rsidTr="00F90938">
        <w:tc>
          <w:tcPr>
            <w:tcW w:w="2127" w:type="dxa"/>
            <w:tcBorders>
              <w:top w:val="nil"/>
            </w:tcBorders>
            <w:shd w:val="clear" w:color="auto" w:fill="FBE4D5" w:themeFill="accent2" w:themeFillTint="33"/>
          </w:tcPr>
          <w:p w14:paraId="7C643340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Medikament: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E4D5" w:themeFill="accent2" w:themeFillTint="33"/>
          </w:tcPr>
          <w:p w14:paraId="2B0F1BA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</w:t>
            </w:r>
          </w:p>
          <w:p w14:paraId="7DA5BEBE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form: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BE4D5" w:themeFill="accent2" w:themeFillTint="33"/>
          </w:tcPr>
          <w:p w14:paraId="5A938BBD" w14:textId="77777777" w:rsidR="003E77CA" w:rsidRPr="005B538D" w:rsidRDefault="003E77CA" w:rsidP="00453326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Doser: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BE4D5" w:themeFill="accent2" w:themeFillTint="33"/>
          </w:tcPr>
          <w:p w14:paraId="6964B04B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Kontraindikasjon/</w:t>
            </w:r>
          </w:p>
          <w:p w14:paraId="56CC16E5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kommentarer: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 w:themeFill="accent2" w:themeFillTint="33"/>
          </w:tcPr>
          <w:p w14:paraId="6E972D60" w14:textId="77777777" w:rsidR="003E77CA" w:rsidRPr="005B538D" w:rsidRDefault="003E77CA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E-håndboks-dokumenter:</w:t>
            </w:r>
          </w:p>
        </w:tc>
      </w:tr>
      <w:tr w:rsidR="003A67D8" w14:paraId="66EBB04A" w14:textId="77777777" w:rsidTr="003A67D8">
        <w:tc>
          <w:tcPr>
            <w:tcW w:w="2127" w:type="dxa"/>
          </w:tcPr>
          <w:p w14:paraId="1A9F02DC" w14:textId="62FB6DF4" w:rsidR="003A67D8" w:rsidRDefault="00CE0E8C">
            <w:r>
              <w:t>Cefazolin evt klindamycin</w:t>
            </w:r>
          </w:p>
        </w:tc>
        <w:tc>
          <w:tcPr>
            <w:tcW w:w="850" w:type="dxa"/>
          </w:tcPr>
          <w:p w14:paraId="613D7A60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0E8CA785" w14:textId="77777777" w:rsidR="003A67D8" w:rsidRDefault="003A67D8"/>
        </w:tc>
        <w:tc>
          <w:tcPr>
            <w:tcW w:w="4394" w:type="dxa"/>
          </w:tcPr>
          <w:p w14:paraId="45034958" w14:textId="77777777" w:rsidR="003A67D8" w:rsidRDefault="003A67D8">
            <w:r>
              <w:t>Operatør legger inn doser i MV</w:t>
            </w:r>
          </w:p>
        </w:tc>
        <w:tc>
          <w:tcPr>
            <w:tcW w:w="1701" w:type="dxa"/>
            <w:shd w:val="clear" w:color="auto" w:fill="FFFFFF" w:themeFill="background1"/>
          </w:tcPr>
          <w:p w14:paraId="2A219F5E" w14:textId="0F4F3C2D" w:rsidR="003A67D8" w:rsidRDefault="00F90938">
            <w:r>
              <w:rPr>
                <w:sz w:val="18"/>
                <w:szCs w:val="18"/>
              </w:rPr>
              <w:t>ID «A</w:t>
            </w:r>
            <w:r w:rsidRPr="00B44CDA">
              <w:rPr>
                <w:sz w:val="18"/>
                <w:szCs w:val="18"/>
              </w:rPr>
              <w:t>ntibiotika</w:t>
            </w:r>
            <w:r>
              <w:rPr>
                <w:sz w:val="18"/>
                <w:szCs w:val="18"/>
              </w:rPr>
              <w:t>-profylakse til pasienter som skal til ortopedisk kirurgi ved OUS Ullevål Sykehus</w:t>
            </w:r>
            <w:r w:rsidRPr="00B44CDA">
              <w:rPr>
                <w:sz w:val="18"/>
                <w:szCs w:val="18"/>
              </w:rPr>
              <w:t>»</w:t>
            </w:r>
          </w:p>
        </w:tc>
      </w:tr>
      <w:tr w:rsidR="003A67D8" w14:paraId="08175D99" w14:textId="77777777" w:rsidTr="003A67D8">
        <w:tc>
          <w:tcPr>
            <w:tcW w:w="2127" w:type="dxa"/>
          </w:tcPr>
          <w:p w14:paraId="7AD6EA3C" w14:textId="77777777" w:rsidR="003A67D8" w:rsidRDefault="003A67D8">
            <w:r>
              <w:t>Fragmin</w:t>
            </w:r>
          </w:p>
        </w:tc>
        <w:tc>
          <w:tcPr>
            <w:tcW w:w="850" w:type="dxa"/>
          </w:tcPr>
          <w:p w14:paraId="21E4FA75" w14:textId="77777777" w:rsidR="003A67D8" w:rsidRDefault="003A67D8">
            <w:r>
              <w:t>sc</w:t>
            </w:r>
          </w:p>
        </w:tc>
        <w:tc>
          <w:tcPr>
            <w:tcW w:w="1985" w:type="dxa"/>
          </w:tcPr>
          <w:p w14:paraId="68691B51" w14:textId="77777777" w:rsidR="003A67D8" w:rsidRDefault="003A67D8"/>
        </w:tc>
        <w:tc>
          <w:tcPr>
            <w:tcW w:w="4394" w:type="dxa"/>
          </w:tcPr>
          <w:p w14:paraId="2349D0D6" w14:textId="77777777" w:rsidR="003A67D8" w:rsidRDefault="003A67D8">
            <w:r>
              <w:t>Operatør legger inn dose i MV</w:t>
            </w:r>
          </w:p>
        </w:tc>
        <w:tc>
          <w:tcPr>
            <w:tcW w:w="1701" w:type="dxa"/>
            <w:shd w:val="clear" w:color="auto" w:fill="FFFFFF" w:themeFill="background1"/>
          </w:tcPr>
          <w:p w14:paraId="61DD767C" w14:textId="77777777" w:rsidR="003A67D8" w:rsidRDefault="003A67D8"/>
        </w:tc>
      </w:tr>
      <w:tr w:rsidR="00805E4A" w14:paraId="15F51909" w14:textId="77777777" w:rsidTr="003A67D8">
        <w:tc>
          <w:tcPr>
            <w:tcW w:w="2127" w:type="dxa"/>
          </w:tcPr>
          <w:p w14:paraId="7713CAC3" w14:textId="22EB8EFB" w:rsidR="00805E4A" w:rsidRDefault="00805E4A">
            <w:r>
              <w:t>Paracetamol</w:t>
            </w:r>
          </w:p>
        </w:tc>
        <w:tc>
          <w:tcPr>
            <w:tcW w:w="850" w:type="dxa"/>
          </w:tcPr>
          <w:p w14:paraId="4D568CA8" w14:textId="77777777" w:rsidR="00805E4A" w:rsidRDefault="00805E4A"/>
        </w:tc>
        <w:tc>
          <w:tcPr>
            <w:tcW w:w="1985" w:type="dxa"/>
          </w:tcPr>
          <w:p w14:paraId="0C5EDF94" w14:textId="7D98CF03" w:rsidR="00805E4A" w:rsidRDefault="00805E4A">
            <w:r>
              <w:t>1 gr. hver 6. time</w:t>
            </w:r>
          </w:p>
        </w:tc>
        <w:tc>
          <w:tcPr>
            <w:tcW w:w="4394" w:type="dxa"/>
          </w:tcPr>
          <w:p w14:paraId="2EB3DC60" w14:textId="77777777" w:rsidR="00805E4A" w:rsidRDefault="00805E4A"/>
        </w:tc>
        <w:tc>
          <w:tcPr>
            <w:tcW w:w="1701" w:type="dxa"/>
            <w:shd w:val="clear" w:color="auto" w:fill="FFFFFF" w:themeFill="background1"/>
          </w:tcPr>
          <w:p w14:paraId="451A1DC6" w14:textId="77777777" w:rsidR="00805E4A" w:rsidRDefault="00805E4A"/>
        </w:tc>
      </w:tr>
      <w:tr w:rsidR="003A67D8" w14:paraId="71945CDB" w14:textId="77777777" w:rsidTr="003A67D8">
        <w:tc>
          <w:tcPr>
            <w:tcW w:w="2127" w:type="dxa"/>
          </w:tcPr>
          <w:p w14:paraId="036E754D" w14:textId="20ACCBBE" w:rsidR="003A67D8" w:rsidRDefault="003A67D8">
            <w:r>
              <w:t>Faste opioider</w:t>
            </w:r>
          </w:p>
        </w:tc>
        <w:tc>
          <w:tcPr>
            <w:tcW w:w="850" w:type="dxa"/>
          </w:tcPr>
          <w:p w14:paraId="3F96BFB9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1545F141" w14:textId="77777777" w:rsidR="003A67D8" w:rsidRDefault="003A67D8"/>
        </w:tc>
        <w:tc>
          <w:tcPr>
            <w:tcW w:w="4394" w:type="dxa"/>
          </w:tcPr>
          <w:p w14:paraId="3745044F" w14:textId="77777777" w:rsidR="003A67D8" w:rsidRDefault="003A67D8">
            <w:r>
              <w:t>Se under preoperativt</w:t>
            </w:r>
          </w:p>
        </w:tc>
        <w:tc>
          <w:tcPr>
            <w:tcW w:w="1701" w:type="dxa"/>
            <w:shd w:val="clear" w:color="auto" w:fill="FFFFFF" w:themeFill="background1"/>
          </w:tcPr>
          <w:p w14:paraId="6DC31F4A" w14:textId="77777777" w:rsidR="003A67D8" w:rsidRDefault="003A67D8"/>
        </w:tc>
      </w:tr>
      <w:tr w:rsidR="003A67D8" w14:paraId="09340555" w14:textId="77777777" w:rsidTr="003A67D8">
        <w:tc>
          <w:tcPr>
            <w:tcW w:w="2127" w:type="dxa"/>
          </w:tcPr>
          <w:p w14:paraId="25929C46" w14:textId="77777777" w:rsidR="003A67D8" w:rsidRDefault="003A67D8">
            <w:r>
              <w:t>Oxycontin</w:t>
            </w:r>
          </w:p>
        </w:tc>
        <w:tc>
          <w:tcPr>
            <w:tcW w:w="850" w:type="dxa"/>
          </w:tcPr>
          <w:p w14:paraId="0481F317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08575BAD" w14:textId="77777777" w:rsidR="003A67D8" w:rsidRDefault="003A67D8">
            <w:r>
              <w:t>Dose vurderes individuelt</w:t>
            </w:r>
          </w:p>
        </w:tc>
        <w:tc>
          <w:tcPr>
            <w:tcW w:w="4394" w:type="dxa"/>
          </w:tcPr>
          <w:p w14:paraId="1A64B6AB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24C08827" w14:textId="77777777" w:rsidR="003A67D8" w:rsidRDefault="003A67D8"/>
        </w:tc>
      </w:tr>
      <w:tr w:rsidR="003A67D8" w14:paraId="4FB607CF" w14:textId="77777777" w:rsidTr="003A67D8">
        <w:tc>
          <w:tcPr>
            <w:tcW w:w="2127" w:type="dxa"/>
          </w:tcPr>
          <w:p w14:paraId="2BBD3418" w14:textId="77777777" w:rsidR="003A67D8" w:rsidRDefault="003A67D8">
            <w:r>
              <w:t>v/behov oxynorm</w:t>
            </w:r>
          </w:p>
        </w:tc>
        <w:tc>
          <w:tcPr>
            <w:tcW w:w="850" w:type="dxa"/>
          </w:tcPr>
          <w:p w14:paraId="148448A0" w14:textId="77777777" w:rsidR="003A67D8" w:rsidRDefault="003A67D8">
            <w:r>
              <w:t>po/iv</w:t>
            </w:r>
          </w:p>
        </w:tc>
        <w:tc>
          <w:tcPr>
            <w:tcW w:w="1985" w:type="dxa"/>
          </w:tcPr>
          <w:p w14:paraId="31E2D5AD" w14:textId="77777777" w:rsidR="003A67D8" w:rsidRDefault="003A67D8">
            <w:r>
              <w:t>Dose vurderes individuelt</w:t>
            </w:r>
          </w:p>
        </w:tc>
        <w:tc>
          <w:tcPr>
            <w:tcW w:w="4394" w:type="dxa"/>
          </w:tcPr>
          <w:p w14:paraId="662C267C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46CD5EAE" w14:textId="77777777" w:rsidR="003A67D8" w:rsidRDefault="003A67D8"/>
        </w:tc>
      </w:tr>
      <w:tr w:rsidR="003A67D8" w14:paraId="07ADDD5A" w14:textId="77777777" w:rsidTr="003A67D8">
        <w:tc>
          <w:tcPr>
            <w:tcW w:w="2127" w:type="dxa"/>
          </w:tcPr>
          <w:p w14:paraId="15567ECC" w14:textId="77777777" w:rsidR="003A67D8" w:rsidRDefault="003A67D8">
            <w:r>
              <w:t>Evt EDA</w:t>
            </w:r>
          </w:p>
        </w:tc>
        <w:tc>
          <w:tcPr>
            <w:tcW w:w="850" w:type="dxa"/>
          </w:tcPr>
          <w:p w14:paraId="76CBBBD6" w14:textId="77777777" w:rsidR="00E81C1B" w:rsidRDefault="00E81C1B"/>
          <w:p w14:paraId="5EB39A51" w14:textId="77777777" w:rsidR="00E81C1B" w:rsidRDefault="00E81C1B"/>
          <w:p w14:paraId="0E63CA94" w14:textId="77777777" w:rsidR="00E81C1B" w:rsidRDefault="00E81C1B"/>
          <w:p w14:paraId="324B0F7C" w14:textId="2B8452A8" w:rsidR="003A67D8" w:rsidRDefault="003A67D8">
            <w:r>
              <w:t>EDK</w:t>
            </w:r>
          </w:p>
        </w:tc>
        <w:tc>
          <w:tcPr>
            <w:tcW w:w="1985" w:type="dxa"/>
          </w:tcPr>
          <w:p w14:paraId="689BBF04" w14:textId="77777777" w:rsidR="00E81C1B" w:rsidRPr="00FC4A34" w:rsidRDefault="00E81C1B" w:rsidP="00E81C1B"/>
          <w:p w14:paraId="107DA8B6" w14:textId="77777777" w:rsidR="00E81C1B" w:rsidRPr="00FC4A34" w:rsidRDefault="00E81C1B" w:rsidP="00E81C1B"/>
          <w:p w14:paraId="476C945B" w14:textId="77777777" w:rsidR="00E81C1B" w:rsidRPr="00FC4A34" w:rsidRDefault="00E81C1B" w:rsidP="00E81C1B"/>
          <w:p w14:paraId="648B2E73" w14:textId="6E0DA81D" w:rsidR="00E81C1B" w:rsidRPr="00FC4A34" w:rsidRDefault="00E83C64" w:rsidP="00E81C1B">
            <w:r w:rsidRPr="00FC4A34">
              <w:t xml:space="preserve">Lidokain </w:t>
            </w:r>
            <w:r w:rsidR="00BE0740">
              <w:t xml:space="preserve"> 10 mg/ml. </w:t>
            </w:r>
            <w:r w:rsidR="00E81C1B" w:rsidRPr="00FC4A34">
              <w:t>3 ml</w:t>
            </w:r>
          </w:p>
          <w:p w14:paraId="4A81CE8A" w14:textId="77777777" w:rsidR="00E81C1B" w:rsidRPr="00FC4A34" w:rsidRDefault="00E81C1B" w:rsidP="00E81C1B"/>
          <w:p w14:paraId="70DD5906" w14:textId="77777777" w:rsidR="00E81C1B" w:rsidRPr="00FC4A34" w:rsidRDefault="00E81C1B" w:rsidP="00E81C1B"/>
          <w:p w14:paraId="76AD33A9" w14:textId="77777777" w:rsidR="00E81C1B" w:rsidRPr="00FC4A34" w:rsidRDefault="00E81C1B" w:rsidP="00E81C1B"/>
          <w:p w14:paraId="049DC471" w14:textId="536CED85" w:rsidR="003A67D8" w:rsidRPr="00E83C64" w:rsidRDefault="00E81C1B">
            <w:r w:rsidRPr="00E83C64">
              <w:t>Sta</w:t>
            </w:r>
            <w:r w:rsidR="00E83C64" w:rsidRPr="00E83C64">
              <w:t>ndard EDA blanding 4-10 ml/time, bolus 4 ml max hver 30 min.</w:t>
            </w:r>
          </w:p>
        </w:tc>
        <w:tc>
          <w:tcPr>
            <w:tcW w:w="4394" w:type="dxa"/>
          </w:tcPr>
          <w:p w14:paraId="11FFBE80" w14:textId="2004DD42" w:rsidR="003A67D8" w:rsidRDefault="00E81C1B">
            <w:r>
              <w:t>E</w:t>
            </w:r>
            <w:r w:rsidR="00E83C64">
              <w:t>vt lidok</w:t>
            </w:r>
            <w:r w:rsidR="001227E8">
              <w:t xml:space="preserve">ain inf må være stoppet 120 min før EDA aktiveres. </w:t>
            </w:r>
          </w:p>
          <w:p w14:paraId="0FAF8A30" w14:textId="77777777" w:rsidR="00E81C1B" w:rsidRDefault="00E81C1B"/>
          <w:p w14:paraId="1B3BF9D0" w14:textId="77777777" w:rsidR="00E81C1B" w:rsidRDefault="00E81C1B" w:rsidP="00E81C1B">
            <w:r>
              <w:t>Testdose settes etter at</w:t>
            </w:r>
          </w:p>
          <w:p w14:paraId="66EB54B6" w14:textId="77777777" w:rsidR="00E81C1B" w:rsidRDefault="00E81C1B" w:rsidP="00E81C1B">
            <w:r>
              <w:t>nevrologisk status underektr. er gjort på</w:t>
            </w:r>
          </w:p>
          <w:p w14:paraId="6D1DB423" w14:textId="77777777" w:rsidR="00E81C1B" w:rsidRDefault="00E81C1B" w:rsidP="00E81C1B">
            <w:r>
              <w:t>postoperativ avdeling (se at pas ikke har fått skade peropr)</w:t>
            </w:r>
          </w:p>
          <w:p w14:paraId="2794A3BE" w14:textId="77777777" w:rsidR="00E81C1B" w:rsidRDefault="00E81C1B" w:rsidP="00E81C1B"/>
          <w:p w14:paraId="02A57E63" w14:textId="1156230D" w:rsidR="00E81C1B" w:rsidRDefault="00BE0740" w:rsidP="00E81C1B">
            <w:r>
              <w:t>Max infusjonsdose kan økes, men konferer anestesilege</w:t>
            </w:r>
          </w:p>
          <w:p w14:paraId="4CE9450E" w14:textId="77777777" w:rsidR="00E81C1B" w:rsidRDefault="00E81C1B" w:rsidP="00E81C1B"/>
          <w:p w14:paraId="3385E5F6" w14:textId="26D1B9BF" w:rsidR="00E81C1B" w:rsidRDefault="00E81C1B"/>
        </w:tc>
        <w:tc>
          <w:tcPr>
            <w:tcW w:w="1701" w:type="dxa"/>
            <w:shd w:val="clear" w:color="auto" w:fill="FFFFFF" w:themeFill="background1"/>
          </w:tcPr>
          <w:p w14:paraId="32D3F013" w14:textId="77777777" w:rsidR="003A67D8" w:rsidRDefault="003A67D8"/>
        </w:tc>
      </w:tr>
      <w:tr w:rsidR="003A67D8" w14:paraId="5F83C452" w14:textId="77777777" w:rsidTr="003A67D8">
        <w:tc>
          <w:tcPr>
            <w:tcW w:w="2127" w:type="dxa"/>
          </w:tcPr>
          <w:p w14:paraId="7D8E9C78" w14:textId="77777777" w:rsidR="003A67D8" w:rsidRDefault="003A67D8">
            <w:r>
              <w:t>Movicol</w:t>
            </w:r>
          </w:p>
        </w:tc>
        <w:tc>
          <w:tcPr>
            <w:tcW w:w="850" w:type="dxa"/>
          </w:tcPr>
          <w:p w14:paraId="6315B3B5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529C1A5E" w14:textId="77777777" w:rsidR="003A67D8" w:rsidRDefault="003A67D8">
            <w:r>
              <w:t xml:space="preserve">1 pose x 2 </w:t>
            </w:r>
          </w:p>
        </w:tc>
        <w:tc>
          <w:tcPr>
            <w:tcW w:w="4394" w:type="dxa"/>
          </w:tcPr>
          <w:p w14:paraId="49AC6C67" w14:textId="77777777" w:rsidR="003A67D8" w:rsidRDefault="003A67D8">
            <w:r>
              <w:t>Motvirker obstipasjon</w:t>
            </w:r>
          </w:p>
        </w:tc>
        <w:tc>
          <w:tcPr>
            <w:tcW w:w="1701" w:type="dxa"/>
            <w:shd w:val="clear" w:color="auto" w:fill="FFFFFF" w:themeFill="background1"/>
          </w:tcPr>
          <w:p w14:paraId="76C7869A" w14:textId="77777777" w:rsidR="003A67D8" w:rsidRDefault="003A67D8"/>
        </w:tc>
      </w:tr>
      <w:tr w:rsidR="00312D43" w14:paraId="30F2098A" w14:textId="77777777" w:rsidTr="00F90938">
        <w:tc>
          <w:tcPr>
            <w:tcW w:w="11057" w:type="dxa"/>
            <w:gridSpan w:val="5"/>
            <w:shd w:val="clear" w:color="auto" w:fill="FBE4D5" w:themeFill="accent2" w:themeFillTint="33"/>
          </w:tcPr>
          <w:p w14:paraId="5D0F59BA" w14:textId="77777777" w:rsidR="00312D43" w:rsidRPr="005B538D" w:rsidRDefault="00312D43" w:rsidP="00312D43">
            <w:pPr>
              <w:jc w:val="center"/>
              <w:rPr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Vurder individuelt:</w:t>
            </w:r>
          </w:p>
        </w:tc>
        <w:bookmarkStart w:id="2" w:name="_GoBack"/>
        <w:bookmarkEnd w:id="2"/>
      </w:tr>
      <w:tr w:rsidR="003A67D8" w14:paraId="06C2DB06" w14:textId="77777777" w:rsidTr="003A67D8">
        <w:tc>
          <w:tcPr>
            <w:tcW w:w="2127" w:type="dxa"/>
            <w:shd w:val="clear" w:color="auto" w:fill="FFFFFF" w:themeFill="background1"/>
          </w:tcPr>
          <w:p w14:paraId="5064CC39" w14:textId="77777777" w:rsidR="003A67D8" w:rsidRPr="00CF21F3" w:rsidRDefault="003A67D8">
            <w:pPr>
              <w:rPr>
                <w:lang w:val="en-US"/>
              </w:rPr>
            </w:pPr>
            <w:r>
              <w:rPr>
                <w:lang w:val="en-US"/>
              </w:rPr>
              <w:t>Lavdose es</w:t>
            </w:r>
            <w:r w:rsidRPr="00CF21F3">
              <w:rPr>
                <w:lang w:val="en-US"/>
              </w:rPr>
              <w:t>ketamin PCA pumpe</w:t>
            </w:r>
          </w:p>
        </w:tc>
        <w:tc>
          <w:tcPr>
            <w:tcW w:w="850" w:type="dxa"/>
            <w:shd w:val="clear" w:color="auto" w:fill="FFFFFF" w:themeFill="background1"/>
          </w:tcPr>
          <w:p w14:paraId="45FB7F6C" w14:textId="77777777" w:rsidR="003A67D8" w:rsidRDefault="003A67D8">
            <w: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14:paraId="508C754D" w14:textId="77777777" w:rsidR="00E83C64" w:rsidRDefault="003A67D8">
            <w:r>
              <w:t>0,03 mg/kg/t</w:t>
            </w:r>
          </w:p>
          <w:p w14:paraId="2487A270" w14:textId="03031E3E" w:rsidR="003A67D8" w:rsidRDefault="005B0AD8">
            <w:r>
              <w:t>(maxdose 0,15</w:t>
            </w:r>
            <w:r w:rsidR="003A67D8">
              <w:t xml:space="preserve"> mg/kg/t)</w:t>
            </w:r>
          </w:p>
        </w:tc>
        <w:tc>
          <w:tcPr>
            <w:tcW w:w="4394" w:type="dxa"/>
            <w:shd w:val="clear" w:color="auto" w:fill="FFFFFF" w:themeFill="background1"/>
          </w:tcPr>
          <w:p w14:paraId="026F6B4C" w14:textId="6825AA66" w:rsidR="003A67D8" w:rsidRDefault="003A67D8">
            <w:r>
              <w:t>Dette startes på postoperativ avdeli</w:t>
            </w:r>
            <w:r w:rsidR="00E83C64">
              <w:t xml:space="preserve">ng </w:t>
            </w:r>
            <w:r>
              <w:t xml:space="preserve">før pasienten overflyttes til sengepost. </w:t>
            </w:r>
          </w:p>
        </w:tc>
        <w:tc>
          <w:tcPr>
            <w:tcW w:w="1701" w:type="dxa"/>
            <w:shd w:val="clear" w:color="auto" w:fill="FFFFFF" w:themeFill="background1"/>
          </w:tcPr>
          <w:p w14:paraId="0773F677" w14:textId="77777777" w:rsidR="003A67D8" w:rsidRDefault="003A67D8"/>
        </w:tc>
      </w:tr>
      <w:tr w:rsidR="003A67D8" w14:paraId="44FDD5F8" w14:textId="77777777" w:rsidTr="003A67D8">
        <w:tc>
          <w:tcPr>
            <w:tcW w:w="2127" w:type="dxa"/>
            <w:shd w:val="clear" w:color="auto" w:fill="FFFFFF" w:themeFill="background1"/>
          </w:tcPr>
          <w:p w14:paraId="7C592A97" w14:textId="25B629A1" w:rsidR="003A67D8" w:rsidRDefault="00E83C64">
            <w:pPr>
              <w:rPr>
                <w:lang w:val="en-US"/>
              </w:rPr>
            </w:pPr>
            <w:r>
              <w:rPr>
                <w:lang w:val="en-US"/>
              </w:rPr>
              <w:t>Lidok</w:t>
            </w:r>
            <w:r w:rsidR="003A67D8">
              <w:rPr>
                <w:lang w:val="en-US"/>
              </w:rPr>
              <w:t>ain</w:t>
            </w:r>
          </w:p>
        </w:tc>
        <w:tc>
          <w:tcPr>
            <w:tcW w:w="850" w:type="dxa"/>
            <w:shd w:val="clear" w:color="auto" w:fill="FFFFFF" w:themeFill="background1"/>
          </w:tcPr>
          <w:p w14:paraId="03C3E75C" w14:textId="77777777" w:rsidR="003A67D8" w:rsidRDefault="003A67D8">
            <w: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14:paraId="0D8F74CA" w14:textId="77777777" w:rsidR="003A67D8" w:rsidRDefault="003A67D8">
            <w:r>
              <w:t>0,5-1 mg/kg/t</w:t>
            </w:r>
          </w:p>
        </w:tc>
        <w:tc>
          <w:tcPr>
            <w:tcW w:w="4394" w:type="dxa"/>
            <w:shd w:val="clear" w:color="auto" w:fill="FFFFFF" w:themeFill="background1"/>
          </w:tcPr>
          <w:p w14:paraId="53801DFB" w14:textId="0AAB21C1" w:rsidR="003A67D8" w:rsidRDefault="003A67D8">
            <w:r>
              <w:t xml:space="preserve">Max 48-72 timer. Pas må ligge på overvåkningsavdeling, kan gis sammen med esktamin, ikke </w:t>
            </w:r>
            <w:r w:rsidR="001227E8">
              <w:t xml:space="preserve">sammen med </w:t>
            </w:r>
            <w:r>
              <w:t>epidural/blokader</w:t>
            </w:r>
          </w:p>
        </w:tc>
        <w:tc>
          <w:tcPr>
            <w:tcW w:w="1701" w:type="dxa"/>
            <w:shd w:val="clear" w:color="auto" w:fill="FFFFFF" w:themeFill="background1"/>
          </w:tcPr>
          <w:p w14:paraId="750B13A7" w14:textId="77777777" w:rsidR="003A67D8" w:rsidRDefault="003A67D8"/>
        </w:tc>
      </w:tr>
      <w:tr w:rsidR="00805E4A" w14:paraId="294BF106" w14:textId="77777777" w:rsidTr="003A67D8">
        <w:tc>
          <w:tcPr>
            <w:tcW w:w="2127" w:type="dxa"/>
            <w:shd w:val="clear" w:color="auto" w:fill="FFFFFF" w:themeFill="background1"/>
          </w:tcPr>
          <w:p w14:paraId="53E41ADB" w14:textId="0AB22317" w:rsidR="00805E4A" w:rsidRDefault="00805E4A">
            <w:pPr>
              <w:rPr>
                <w:lang w:val="en-US"/>
              </w:rPr>
            </w:pPr>
            <w:r>
              <w:t>Evt PCA-oxynorm pumpe</w:t>
            </w:r>
          </w:p>
        </w:tc>
        <w:tc>
          <w:tcPr>
            <w:tcW w:w="850" w:type="dxa"/>
            <w:shd w:val="clear" w:color="auto" w:fill="FFFFFF" w:themeFill="background1"/>
          </w:tcPr>
          <w:p w14:paraId="70E72C15" w14:textId="50F69103" w:rsidR="00805E4A" w:rsidRDefault="00805E4A">
            <w: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14:paraId="6F930A60" w14:textId="7551E677" w:rsidR="00805E4A" w:rsidRDefault="00E83C64">
            <w:r>
              <w:t>Bolus 1 mg, sperretid 8 min. Maxdose pr. time 7 (evt færre)</w:t>
            </w:r>
          </w:p>
        </w:tc>
        <w:tc>
          <w:tcPr>
            <w:tcW w:w="4394" w:type="dxa"/>
            <w:shd w:val="clear" w:color="auto" w:fill="FFFFFF" w:themeFill="background1"/>
          </w:tcPr>
          <w:p w14:paraId="1F9E3284" w14:textId="77777777" w:rsidR="00805E4A" w:rsidRDefault="00805E4A" w:rsidP="00805E4A">
            <w:r>
              <w:t>Kan være aktuelt hos pasienter med høyt opioid forbruk som ikke kan få EDK</w:t>
            </w:r>
          </w:p>
          <w:p w14:paraId="1304C4FA" w14:textId="77777777" w:rsidR="00805E4A" w:rsidRDefault="00805E4A" w:rsidP="00805E4A">
            <w:r>
              <w:t>Oppstart på postoperativ avdeling.</w:t>
            </w:r>
          </w:p>
          <w:p w14:paraId="770202AD" w14:textId="39056830" w:rsidR="00805E4A" w:rsidRDefault="00805E4A" w:rsidP="00805E4A">
            <w:r>
              <w:t>Vurder sperre tid ut fra hvor mye opioider pasienten tåler.</w:t>
            </w:r>
          </w:p>
        </w:tc>
        <w:tc>
          <w:tcPr>
            <w:tcW w:w="1701" w:type="dxa"/>
            <w:shd w:val="clear" w:color="auto" w:fill="FFFFFF" w:themeFill="background1"/>
          </w:tcPr>
          <w:p w14:paraId="20F0CDDA" w14:textId="77777777" w:rsidR="00805E4A" w:rsidRDefault="00805E4A" w:rsidP="00805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 32322 PCA </w:t>
            </w:r>
          </w:p>
          <w:p w14:paraId="232DA627" w14:textId="77777777" w:rsidR="00805E4A" w:rsidRDefault="00805E4A"/>
        </w:tc>
      </w:tr>
      <w:tr w:rsidR="003A67D8" w14:paraId="47377D37" w14:textId="77777777" w:rsidTr="003A67D8"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26E719" w14:textId="77777777" w:rsidR="003A67D8" w:rsidRDefault="003A67D8">
            <w:pPr>
              <w:rPr>
                <w:lang w:val="en-US"/>
              </w:rPr>
            </w:pPr>
            <w:r>
              <w:rPr>
                <w:lang w:val="en-US"/>
              </w:rPr>
              <w:t>Klonidin/amitritylin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C960D" w14:textId="77777777" w:rsidR="003A67D8" w:rsidRDefault="003A67D8">
            <w:r>
              <w:t>po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5672F" w14:textId="33DC05E2" w:rsidR="003A67D8" w:rsidRDefault="003A67D8">
            <w:r>
              <w:t>Se e håndboksdok</w:t>
            </w:r>
            <w:r w:rsidR="00584A96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45696" w14:textId="77777777" w:rsidR="003A67D8" w:rsidRDefault="003A67D8"/>
          <w:p w14:paraId="2F9A6A2C" w14:textId="77777777" w:rsidR="003A67D8" w:rsidRDefault="003A67D8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944B8" w14:textId="2DF14C4D" w:rsidR="003A67D8" w:rsidRDefault="00F9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 Analgetika dosering</w:t>
            </w:r>
          </w:p>
          <w:p w14:paraId="51E7DDDE" w14:textId="00FF26B2" w:rsidR="00A81DDF" w:rsidRPr="00CD3F17" w:rsidRDefault="00A81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 142065 klonidin iv sengepost</w:t>
            </w:r>
          </w:p>
        </w:tc>
      </w:tr>
      <w:tr w:rsidR="00093AA0" w14:paraId="6795C3D7" w14:textId="77777777" w:rsidTr="00F90938">
        <w:tc>
          <w:tcPr>
            <w:tcW w:w="11057" w:type="dxa"/>
            <w:gridSpan w:val="5"/>
            <w:tcBorders>
              <w:bottom w:val="nil"/>
            </w:tcBorders>
            <w:shd w:val="clear" w:color="auto" w:fill="F4B083" w:themeFill="accent2" w:themeFillTint="99"/>
          </w:tcPr>
          <w:p w14:paraId="36CB9294" w14:textId="77777777" w:rsidR="003A67D8" w:rsidRDefault="00093AA0" w:rsidP="00093AA0">
            <w:pPr>
              <w:jc w:val="center"/>
              <w:rPr>
                <w:b/>
                <w:sz w:val="36"/>
                <w:szCs w:val="36"/>
              </w:rPr>
            </w:pPr>
            <w:r w:rsidRPr="00A560AE">
              <w:rPr>
                <w:b/>
                <w:sz w:val="36"/>
                <w:szCs w:val="36"/>
              </w:rPr>
              <w:lastRenderedPageBreak/>
              <w:t xml:space="preserve">Postoperativt 1. døgn- utskrivelse </w:t>
            </w:r>
          </w:p>
          <w:p w14:paraId="3AC30B50" w14:textId="4D17B379" w:rsidR="00093AA0" w:rsidRPr="00A27AD7" w:rsidRDefault="00093AA0" w:rsidP="00093AA0">
            <w:pPr>
              <w:jc w:val="center"/>
              <w:rPr>
                <w:b/>
                <w:sz w:val="24"/>
                <w:szCs w:val="24"/>
              </w:rPr>
            </w:pPr>
            <w:r w:rsidRPr="00A27AD7">
              <w:rPr>
                <w:b/>
                <w:sz w:val="24"/>
                <w:szCs w:val="24"/>
              </w:rPr>
              <w:t>(styres av ortoped på sengepost, evt smert</w:t>
            </w:r>
            <w:r w:rsidR="00584A96" w:rsidRPr="00A27AD7">
              <w:rPr>
                <w:b/>
                <w:sz w:val="24"/>
                <w:szCs w:val="24"/>
              </w:rPr>
              <w:t>et</w:t>
            </w:r>
            <w:r w:rsidRPr="00A27AD7">
              <w:rPr>
                <w:b/>
                <w:sz w:val="24"/>
                <w:szCs w:val="24"/>
              </w:rPr>
              <w:t>eam)</w:t>
            </w:r>
          </w:p>
        </w:tc>
      </w:tr>
      <w:tr w:rsidR="003A67D8" w14:paraId="11CC1EA3" w14:textId="77777777" w:rsidTr="00F90938">
        <w:tc>
          <w:tcPr>
            <w:tcW w:w="2127" w:type="dxa"/>
            <w:tcBorders>
              <w:top w:val="nil"/>
            </w:tcBorders>
            <w:shd w:val="clear" w:color="auto" w:fill="FBE4D5" w:themeFill="accent2" w:themeFillTint="33"/>
          </w:tcPr>
          <w:p w14:paraId="77870FC1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Medikament: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E4D5" w:themeFill="accent2" w:themeFillTint="33"/>
          </w:tcPr>
          <w:p w14:paraId="13745A99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Adm.</w:t>
            </w:r>
          </w:p>
          <w:p w14:paraId="71C4603E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Form: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BE4D5" w:themeFill="accent2" w:themeFillTint="33"/>
          </w:tcPr>
          <w:p w14:paraId="15AD215D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Dose: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FBE4D5" w:themeFill="accent2" w:themeFillTint="33"/>
          </w:tcPr>
          <w:p w14:paraId="2DE5A38F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Kontraindikasjoner/</w:t>
            </w:r>
          </w:p>
          <w:p w14:paraId="5DC07652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kommentarer: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 w:themeFill="accent2" w:themeFillTint="33"/>
          </w:tcPr>
          <w:p w14:paraId="3B880BAB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E-håndboks-</w:t>
            </w:r>
          </w:p>
          <w:p w14:paraId="6D347DD4" w14:textId="77777777" w:rsidR="003A67D8" w:rsidRPr="005B538D" w:rsidRDefault="003A67D8">
            <w:pPr>
              <w:rPr>
                <w:b/>
                <w:sz w:val="24"/>
                <w:szCs w:val="24"/>
              </w:rPr>
            </w:pPr>
            <w:r w:rsidRPr="005B538D">
              <w:rPr>
                <w:b/>
                <w:sz w:val="24"/>
                <w:szCs w:val="24"/>
              </w:rPr>
              <w:t>dokument:</w:t>
            </w:r>
          </w:p>
        </w:tc>
      </w:tr>
      <w:tr w:rsidR="003A67D8" w14:paraId="38F32E7F" w14:textId="77777777" w:rsidTr="003A67D8">
        <w:tc>
          <w:tcPr>
            <w:tcW w:w="2127" w:type="dxa"/>
          </w:tcPr>
          <w:p w14:paraId="5EC006FD" w14:textId="77777777" w:rsidR="003A67D8" w:rsidRDefault="003A67D8">
            <w:r>
              <w:t>Faste opioider</w:t>
            </w:r>
          </w:p>
        </w:tc>
        <w:tc>
          <w:tcPr>
            <w:tcW w:w="850" w:type="dxa"/>
          </w:tcPr>
          <w:p w14:paraId="07D90576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2BB32269" w14:textId="77777777" w:rsidR="003A67D8" w:rsidRDefault="003A67D8"/>
        </w:tc>
        <w:tc>
          <w:tcPr>
            <w:tcW w:w="4394" w:type="dxa"/>
          </w:tcPr>
          <w:p w14:paraId="123BE5DF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EEE59AE" w14:textId="77777777" w:rsidR="003A67D8" w:rsidRDefault="003A67D8"/>
        </w:tc>
      </w:tr>
      <w:tr w:rsidR="003A67D8" w14:paraId="11D82334" w14:textId="77777777" w:rsidTr="003A67D8">
        <w:tc>
          <w:tcPr>
            <w:tcW w:w="2127" w:type="dxa"/>
          </w:tcPr>
          <w:p w14:paraId="644B8026" w14:textId="77777777" w:rsidR="003A67D8" w:rsidRDefault="003A67D8">
            <w:r>
              <w:t xml:space="preserve">Paracetamol </w:t>
            </w:r>
          </w:p>
        </w:tc>
        <w:tc>
          <w:tcPr>
            <w:tcW w:w="850" w:type="dxa"/>
          </w:tcPr>
          <w:p w14:paraId="3F800C9E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2E70E8EF" w14:textId="77777777" w:rsidR="003A67D8" w:rsidRDefault="003A67D8">
            <w:r>
              <w:t xml:space="preserve">1 gr x 4 </w:t>
            </w:r>
          </w:p>
        </w:tc>
        <w:tc>
          <w:tcPr>
            <w:tcW w:w="4394" w:type="dxa"/>
          </w:tcPr>
          <w:p w14:paraId="3CA4E301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CA57076" w14:textId="77777777" w:rsidR="003A67D8" w:rsidRDefault="003A67D8"/>
        </w:tc>
      </w:tr>
      <w:tr w:rsidR="003A67D8" w14:paraId="3B19D253" w14:textId="77777777" w:rsidTr="003A67D8">
        <w:tc>
          <w:tcPr>
            <w:tcW w:w="2127" w:type="dxa"/>
          </w:tcPr>
          <w:p w14:paraId="2BCB4E8B" w14:textId="77777777" w:rsidR="003A67D8" w:rsidRDefault="003A67D8" w:rsidP="000E0704">
            <w:r>
              <w:t>Etorikoksib</w:t>
            </w:r>
          </w:p>
          <w:p w14:paraId="3190FD5E" w14:textId="77777777" w:rsidR="003A67D8" w:rsidRDefault="003A67D8">
            <w:r>
              <w:t xml:space="preserve">(Arcoxia) </w:t>
            </w:r>
          </w:p>
        </w:tc>
        <w:tc>
          <w:tcPr>
            <w:tcW w:w="850" w:type="dxa"/>
          </w:tcPr>
          <w:p w14:paraId="2254D4F2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2B79FA91" w14:textId="77777777" w:rsidR="003A67D8" w:rsidRDefault="003A67D8">
            <w:r>
              <w:t>90 mg x 1</w:t>
            </w:r>
          </w:p>
        </w:tc>
        <w:tc>
          <w:tcPr>
            <w:tcW w:w="4394" w:type="dxa"/>
          </w:tcPr>
          <w:p w14:paraId="018E5E6D" w14:textId="77777777" w:rsidR="003A67D8" w:rsidRDefault="003A67D8">
            <w:r>
              <w:t>Seponeres dag 7-10 eller før utskrivelse</w:t>
            </w:r>
          </w:p>
        </w:tc>
        <w:tc>
          <w:tcPr>
            <w:tcW w:w="1701" w:type="dxa"/>
            <w:shd w:val="clear" w:color="auto" w:fill="FFFFFF" w:themeFill="background1"/>
          </w:tcPr>
          <w:p w14:paraId="4DC93597" w14:textId="77777777" w:rsidR="003A67D8" w:rsidRDefault="003A67D8"/>
        </w:tc>
      </w:tr>
      <w:tr w:rsidR="003A67D8" w14:paraId="2CEF67B4" w14:textId="77777777" w:rsidTr="003A67D8">
        <w:tc>
          <w:tcPr>
            <w:tcW w:w="2127" w:type="dxa"/>
          </w:tcPr>
          <w:p w14:paraId="68A691BE" w14:textId="77777777" w:rsidR="003A67D8" w:rsidRDefault="003A67D8" w:rsidP="000E0704">
            <w:r>
              <w:t>Oxycontin</w:t>
            </w:r>
          </w:p>
        </w:tc>
        <w:tc>
          <w:tcPr>
            <w:tcW w:w="850" w:type="dxa"/>
          </w:tcPr>
          <w:p w14:paraId="59320CD3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7022DC95" w14:textId="77777777" w:rsidR="003A67D8" w:rsidRDefault="003A67D8">
            <w:r>
              <w:t>doseres individuelt</w:t>
            </w:r>
          </w:p>
        </w:tc>
        <w:tc>
          <w:tcPr>
            <w:tcW w:w="4394" w:type="dxa"/>
          </w:tcPr>
          <w:p w14:paraId="0475297B" w14:textId="30B1DAB0" w:rsidR="003A67D8" w:rsidRDefault="002A3E5C" w:rsidP="002A3E5C">
            <w:r>
              <w:t xml:space="preserve">Unngå ved EDA. Legg inn kun 3 doser. </w:t>
            </w:r>
          </w:p>
        </w:tc>
        <w:tc>
          <w:tcPr>
            <w:tcW w:w="1701" w:type="dxa"/>
            <w:shd w:val="clear" w:color="auto" w:fill="FFFFFF" w:themeFill="background1"/>
          </w:tcPr>
          <w:p w14:paraId="1DC51626" w14:textId="77777777" w:rsidR="003A67D8" w:rsidRDefault="003A67D8"/>
        </w:tc>
      </w:tr>
      <w:tr w:rsidR="003A67D8" w14:paraId="61D644A5" w14:textId="77777777" w:rsidTr="003A67D8">
        <w:tc>
          <w:tcPr>
            <w:tcW w:w="2127" w:type="dxa"/>
          </w:tcPr>
          <w:p w14:paraId="776A2B32" w14:textId="77777777" w:rsidR="003A67D8" w:rsidRDefault="003A67D8">
            <w:r>
              <w:t>Evt EDA</w:t>
            </w:r>
          </w:p>
          <w:p w14:paraId="3F080FF4" w14:textId="77777777" w:rsidR="003A67D8" w:rsidRDefault="003A67D8"/>
        </w:tc>
        <w:tc>
          <w:tcPr>
            <w:tcW w:w="850" w:type="dxa"/>
          </w:tcPr>
          <w:p w14:paraId="3358E7F9" w14:textId="77777777" w:rsidR="003A67D8" w:rsidRDefault="003A67D8">
            <w:r>
              <w:t>EDK</w:t>
            </w:r>
          </w:p>
        </w:tc>
        <w:tc>
          <w:tcPr>
            <w:tcW w:w="1985" w:type="dxa"/>
          </w:tcPr>
          <w:p w14:paraId="74C7F73F" w14:textId="0D0947A9" w:rsidR="003A67D8" w:rsidRDefault="003A67D8"/>
        </w:tc>
        <w:tc>
          <w:tcPr>
            <w:tcW w:w="4394" w:type="dxa"/>
          </w:tcPr>
          <w:p w14:paraId="36652A24" w14:textId="77777777" w:rsidR="003A67D8" w:rsidRDefault="003A67D8" w:rsidP="003B67AF">
            <w:r>
              <w:t>Seponeres dag 3-4, regn med å øke opioiddosen</w:t>
            </w:r>
          </w:p>
        </w:tc>
        <w:tc>
          <w:tcPr>
            <w:tcW w:w="1701" w:type="dxa"/>
            <w:shd w:val="clear" w:color="auto" w:fill="FFFFFF" w:themeFill="background1"/>
          </w:tcPr>
          <w:p w14:paraId="620E8377" w14:textId="77777777" w:rsidR="003A67D8" w:rsidRDefault="003A67D8"/>
        </w:tc>
      </w:tr>
      <w:tr w:rsidR="003A67D8" w14:paraId="7616EBDC" w14:textId="77777777" w:rsidTr="003A67D8">
        <w:tc>
          <w:tcPr>
            <w:tcW w:w="2127" w:type="dxa"/>
          </w:tcPr>
          <w:p w14:paraId="741454AA" w14:textId="77777777" w:rsidR="003A67D8" w:rsidRDefault="003A67D8">
            <w:r>
              <w:t>Evt esketamin</w:t>
            </w:r>
          </w:p>
        </w:tc>
        <w:tc>
          <w:tcPr>
            <w:tcW w:w="850" w:type="dxa"/>
          </w:tcPr>
          <w:p w14:paraId="4B00FF15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0046B641" w14:textId="1F54A003" w:rsidR="003A67D8" w:rsidRDefault="009117A9">
            <w:r>
              <w:t>0,03-0,15</w:t>
            </w:r>
            <w:r w:rsidR="003A67D8">
              <w:t xml:space="preserve"> mg/kg/t</w:t>
            </w:r>
          </w:p>
        </w:tc>
        <w:tc>
          <w:tcPr>
            <w:tcW w:w="4394" w:type="dxa"/>
          </w:tcPr>
          <w:p w14:paraId="33CA8520" w14:textId="7E672D7D" w:rsidR="003A67D8" w:rsidRDefault="008B620E">
            <w:r>
              <w:t>Seponeres innen dag 3</w:t>
            </w:r>
          </w:p>
        </w:tc>
        <w:tc>
          <w:tcPr>
            <w:tcW w:w="1701" w:type="dxa"/>
            <w:shd w:val="clear" w:color="auto" w:fill="FFFFFF" w:themeFill="background1"/>
          </w:tcPr>
          <w:p w14:paraId="7B61E83A" w14:textId="77777777" w:rsidR="003A67D8" w:rsidRDefault="003A67D8"/>
        </w:tc>
      </w:tr>
      <w:tr w:rsidR="003A67D8" w14:paraId="462F93D2" w14:textId="77777777" w:rsidTr="003A67D8">
        <w:tc>
          <w:tcPr>
            <w:tcW w:w="2127" w:type="dxa"/>
          </w:tcPr>
          <w:p w14:paraId="68633B40" w14:textId="77777777" w:rsidR="003A67D8" w:rsidRDefault="003A67D8">
            <w:r>
              <w:t>Evt PCA oxynorm</w:t>
            </w:r>
          </w:p>
        </w:tc>
        <w:tc>
          <w:tcPr>
            <w:tcW w:w="850" w:type="dxa"/>
          </w:tcPr>
          <w:p w14:paraId="41E4E87B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05B7958C" w14:textId="77777777" w:rsidR="003A67D8" w:rsidRDefault="003A67D8"/>
        </w:tc>
        <w:tc>
          <w:tcPr>
            <w:tcW w:w="4394" w:type="dxa"/>
          </w:tcPr>
          <w:p w14:paraId="6EF0CDAF" w14:textId="77777777" w:rsidR="003A67D8" w:rsidRDefault="003A67D8">
            <w:r>
              <w:t>Seponeres dag 2</w:t>
            </w:r>
          </w:p>
          <w:p w14:paraId="270FAAC3" w14:textId="77777777" w:rsidR="003A67D8" w:rsidRDefault="003A67D8">
            <w:r>
              <w:t>Regn på total døgnforbruk av opioider- omgjøres til primært po opioider (vanligst oxycontin)</w:t>
            </w:r>
          </w:p>
        </w:tc>
        <w:tc>
          <w:tcPr>
            <w:tcW w:w="1701" w:type="dxa"/>
            <w:shd w:val="clear" w:color="auto" w:fill="FFFFFF" w:themeFill="background1"/>
          </w:tcPr>
          <w:p w14:paraId="1F16BBCE" w14:textId="77777777" w:rsidR="003A67D8" w:rsidRDefault="003A67D8"/>
        </w:tc>
      </w:tr>
      <w:tr w:rsidR="003A67D8" w14:paraId="3D63791A" w14:textId="77777777" w:rsidTr="003A67D8">
        <w:tc>
          <w:tcPr>
            <w:tcW w:w="2127" w:type="dxa"/>
          </w:tcPr>
          <w:p w14:paraId="2A46ABCB" w14:textId="77777777" w:rsidR="003A67D8" w:rsidRDefault="003A67D8">
            <w:r>
              <w:t>v/behov oxynorm</w:t>
            </w:r>
          </w:p>
        </w:tc>
        <w:tc>
          <w:tcPr>
            <w:tcW w:w="850" w:type="dxa"/>
          </w:tcPr>
          <w:p w14:paraId="74394FAD" w14:textId="77777777" w:rsidR="003A67D8" w:rsidRDefault="003A67D8">
            <w:r>
              <w:t>po/iv</w:t>
            </w:r>
          </w:p>
        </w:tc>
        <w:tc>
          <w:tcPr>
            <w:tcW w:w="1985" w:type="dxa"/>
          </w:tcPr>
          <w:p w14:paraId="55B2A43F" w14:textId="77777777" w:rsidR="003A67D8" w:rsidRDefault="003A67D8">
            <w:r>
              <w:t xml:space="preserve">5-15 mg </w:t>
            </w:r>
          </w:p>
        </w:tc>
        <w:tc>
          <w:tcPr>
            <w:tcW w:w="4394" w:type="dxa"/>
          </w:tcPr>
          <w:p w14:paraId="4153DD3A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495AD9D4" w14:textId="77777777" w:rsidR="003A67D8" w:rsidRDefault="003A67D8"/>
        </w:tc>
      </w:tr>
      <w:tr w:rsidR="003A67D8" w14:paraId="551ED372" w14:textId="77777777" w:rsidTr="003A67D8">
        <w:tc>
          <w:tcPr>
            <w:tcW w:w="2127" w:type="dxa"/>
          </w:tcPr>
          <w:p w14:paraId="2C29A12E" w14:textId="7D887DCE" w:rsidR="008B6D41" w:rsidRDefault="003A67D8">
            <w:r>
              <w:t>Evt gabapentin</w:t>
            </w:r>
          </w:p>
        </w:tc>
        <w:tc>
          <w:tcPr>
            <w:tcW w:w="850" w:type="dxa"/>
          </w:tcPr>
          <w:p w14:paraId="5419272B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64008512" w14:textId="77777777" w:rsidR="003A67D8" w:rsidRDefault="003A67D8">
            <w:r>
              <w:t>400 mg + 600 mg</w:t>
            </w:r>
          </w:p>
        </w:tc>
        <w:tc>
          <w:tcPr>
            <w:tcW w:w="4394" w:type="dxa"/>
          </w:tcPr>
          <w:p w14:paraId="702B806A" w14:textId="77777777" w:rsidR="003A67D8" w:rsidRDefault="003A67D8">
            <w:r>
              <w:t>Seponeres dag 7 eller før utskrivelse</w:t>
            </w:r>
          </w:p>
          <w:p w14:paraId="02FDE553" w14:textId="4A15EC21" w:rsidR="00E83C64" w:rsidRDefault="00E83C64">
            <w:r>
              <w:t>Brukt gabapentin/pregabalin preopr., vurder dose før utskrivelse.</w:t>
            </w:r>
          </w:p>
        </w:tc>
        <w:tc>
          <w:tcPr>
            <w:tcW w:w="1701" w:type="dxa"/>
            <w:shd w:val="clear" w:color="auto" w:fill="FFFFFF" w:themeFill="background1"/>
          </w:tcPr>
          <w:p w14:paraId="61535633" w14:textId="77777777" w:rsidR="003A67D8" w:rsidRDefault="003A67D8"/>
        </w:tc>
      </w:tr>
      <w:tr w:rsidR="003A67D8" w14:paraId="0F95A352" w14:textId="77777777" w:rsidTr="003A67D8">
        <w:tc>
          <w:tcPr>
            <w:tcW w:w="2127" w:type="dxa"/>
          </w:tcPr>
          <w:p w14:paraId="1AA2A2FE" w14:textId="7986C97D" w:rsidR="003A67D8" w:rsidRDefault="00E83C64">
            <w:r>
              <w:t>Evt klonidin</w:t>
            </w:r>
          </w:p>
        </w:tc>
        <w:tc>
          <w:tcPr>
            <w:tcW w:w="850" w:type="dxa"/>
          </w:tcPr>
          <w:p w14:paraId="6C53B74C" w14:textId="77777777" w:rsidR="003A67D8" w:rsidRDefault="003A67D8">
            <w:r>
              <w:t>po (iv)</w:t>
            </w:r>
          </w:p>
        </w:tc>
        <w:tc>
          <w:tcPr>
            <w:tcW w:w="1985" w:type="dxa"/>
          </w:tcPr>
          <w:p w14:paraId="62ABD452" w14:textId="77777777" w:rsidR="003A67D8" w:rsidRDefault="003A67D8">
            <w:r>
              <w:t>Se e håndbok</w:t>
            </w:r>
          </w:p>
        </w:tc>
        <w:tc>
          <w:tcPr>
            <w:tcW w:w="4394" w:type="dxa"/>
          </w:tcPr>
          <w:p w14:paraId="74FD3569" w14:textId="1D942B80" w:rsidR="003A67D8" w:rsidRDefault="009117A9">
            <w:r>
              <w:t>Seponeres innen dag 3</w:t>
            </w:r>
          </w:p>
        </w:tc>
        <w:tc>
          <w:tcPr>
            <w:tcW w:w="1701" w:type="dxa"/>
            <w:shd w:val="clear" w:color="auto" w:fill="FFFFFF" w:themeFill="background1"/>
          </w:tcPr>
          <w:p w14:paraId="30F7055E" w14:textId="623965D9" w:rsidR="003A67D8" w:rsidRPr="008B6D41" w:rsidRDefault="008B6D41">
            <w:pPr>
              <w:rPr>
                <w:sz w:val="18"/>
                <w:szCs w:val="18"/>
              </w:rPr>
            </w:pPr>
            <w:r w:rsidRPr="008B6D41">
              <w:rPr>
                <w:sz w:val="18"/>
                <w:szCs w:val="18"/>
              </w:rPr>
              <w:t>ID alle analgetika</w:t>
            </w:r>
          </w:p>
        </w:tc>
      </w:tr>
      <w:tr w:rsidR="003A67D8" w14:paraId="4B2DCDC0" w14:textId="77777777" w:rsidTr="003A67D8">
        <w:tc>
          <w:tcPr>
            <w:tcW w:w="2127" w:type="dxa"/>
          </w:tcPr>
          <w:p w14:paraId="7AA72ECB" w14:textId="77777777" w:rsidR="003A67D8" w:rsidRDefault="003A67D8">
            <w:r>
              <w:t xml:space="preserve">Movicol </w:t>
            </w:r>
          </w:p>
        </w:tc>
        <w:tc>
          <w:tcPr>
            <w:tcW w:w="850" w:type="dxa"/>
          </w:tcPr>
          <w:p w14:paraId="7ABB0FD0" w14:textId="77777777" w:rsidR="003A67D8" w:rsidRDefault="003A67D8">
            <w:r>
              <w:t>po</w:t>
            </w:r>
          </w:p>
        </w:tc>
        <w:tc>
          <w:tcPr>
            <w:tcW w:w="1985" w:type="dxa"/>
          </w:tcPr>
          <w:p w14:paraId="755A9851" w14:textId="77777777" w:rsidR="003A67D8" w:rsidRDefault="003A67D8">
            <w:r>
              <w:t xml:space="preserve">1 pose x 2 </w:t>
            </w:r>
          </w:p>
        </w:tc>
        <w:tc>
          <w:tcPr>
            <w:tcW w:w="4394" w:type="dxa"/>
          </w:tcPr>
          <w:p w14:paraId="2F926213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1DC9361E" w14:textId="77777777" w:rsidR="003A67D8" w:rsidRDefault="003A67D8"/>
        </w:tc>
      </w:tr>
      <w:tr w:rsidR="00093AA0" w14:paraId="73A38E13" w14:textId="77777777" w:rsidTr="00F90938">
        <w:tc>
          <w:tcPr>
            <w:tcW w:w="11057" w:type="dxa"/>
            <w:gridSpan w:val="5"/>
            <w:shd w:val="clear" w:color="auto" w:fill="F4B083" w:themeFill="accent2" w:themeFillTint="99"/>
          </w:tcPr>
          <w:p w14:paraId="373B2913" w14:textId="77777777" w:rsidR="00093AA0" w:rsidRPr="00A560AE" w:rsidRDefault="00093AA0" w:rsidP="00093AA0">
            <w:pPr>
              <w:jc w:val="center"/>
              <w:rPr>
                <w:b/>
                <w:sz w:val="36"/>
                <w:szCs w:val="36"/>
              </w:rPr>
            </w:pPr>
            <w:r w:rsidRPr="00A560AE">
              <w:rPr>
                <w:b/>
                <w:sz w:val="36"/>
                <w:szCs w:val="36"/>
              </w:rPr>
              <w:t>Kvalme, vurder individuelt:</w:t>
            </w:r>
          </w:p>
        </w:tc>
      </w:tr>
      <w:tr w:rsidR="003A67D8" w14:paraId="20F93D3F" w14:textId="77777777" w:rsidTr="003A67D8">
        <w:tc>
          <w:tcPr>
            <w:tcW w:w="2127" w:type="dxa"/>
          </w:tcPr>
          <w:p w14:paraId="648E5660" w14:textId="77777777" w:rsidR="003A67D8" w:rsidRDefault="003A67D8">
            <w:r>
              <w:t>Metoklopramid</w:t>
            </w:r>
          </w:p>
        </w:tc>
        <w:tc>
          <w:tcPr>
            <w:tcW w:w="850" w:type="dxa"/>
          </w:tcPr>
          <w:p w14:paraId="43949B3C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37141807" w14:textId="77777777" w:rsidR="003A67D8" w:rsidRDefault="003A67D8">
            <w:r>
              <w:t xml:space="preserve">Max 10 mg x 3 </w:t>
            </w:r>
          </w:p>
        </w:tc>
        <w:tc>
          <w:tcPr>
            <w:tcW w:w="4394" w:type="dxa"/>
          </w:tcPr>
          <w:p w14:paraId="18EA861C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7827912C" w14:textId="77777777" w:rsidR="003A67D8" w:rsidRDefault="003A67D8"/>
        </w:tc>
      </w:tr>
      <w:tr w:rsidR="003A67D8" w14:paraId="70207C77" w14:textId="77777777" w:rsidTr="003A67D8">
        <w:tc>
          <w:tcPr>
            <w:tcW w:w="2127" w:type="dxa"/>
          </w:tcPr>
          <w:p w14:paraId="14AF61E5" w14:textId="77777777" w:rsidR="003A67D8" w:rsidRDefault="003A67D8">
            <w:r>
              <w:t>Ondansetron</w:t>
            </w:r>
          </w:p>
        </w:tc>
        <w:tc>
          <w:tcPr>
            <w:tcW w:w="850" w:type="dxa"/>
          </w:tcPr>
          <w:p w14:paraId="274B5706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105649F0" w14:textId="77777777" w:rsidR="003A67D8" w:rsidRDefault="003A67D8">
            <w:r>
              <w:t>Max 4 mg x 3</w:t>
            </w:r>
          </w:p>
        </w:tc>
        <w:tc>
          <w:tcPr>
            <w:tcW w:w="4394" w:type="dxa"/>
          </w:tcPr>
          <w:p w14:paraId="595F3DF9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35D965BB" w14:textId="77777777" w:rsidR="003A67D8" w:rsidRDefault="003A67D8"/>
        </w:tc>
      </w:tr>
      <w:tr w:rsidR="003A67D8" w14:paraId="4F297918" w14:textId="77777777" w:rsidTr="003A67D8">
        <w:tc>
          <w:tcPr>
            <w:tcW w:w="2127" w:type="dxa"/>
          </w:tcPr>
          <w:p w14:paraId="2953D0A7" w14:textId="77777777" w:rsidR="003A67D8" w:rsidRDefault="003A67D8">
            <w:r>
              <w:t>Droperidol</w:t>
            </w:r>
          </w:p>
        </w:tc>
        <w:tc>
          <w:tcPr>
            <w:tcW w:w="850" w:type="dxa"/>
          </w:tcPr>
          <w:p w14:paraId="0F784E0B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1556B864" w14:textId="77777777" w:rsidR="003A67D8" w:rsidRDefault="003A67D8">
            <w:r>
              <w:t xml:space="preserve">Max 0,625-1,25 mg x 3 </w:t>
            </w:r>
          </w:p>
        </w:tc>
        <w:tc>
          <w:tcPr>
            <w:tcW w:w="4394" w:type="dxa"/>
          </w:tcPr>
          <w:p w14:paraId="3AEC973D" w14:textId="77777777" w:rsidR="003A67D8" w:rsidRDefault="003A67D8"/>
        </w:tc>
        <w:tc>
          <w:tcPr>
            <w:tcW w:w="1701" w:type="dxa"/>
            <w:shd w:val="clear" w:color="auto" w:fill="FFFFFF" w:themeFill="background1"/>
          </w:tcPr>
          <w:p w14:paraId="2172E0DE" w14:textId="77777777" w:rsidR="003A67D8" w:rsidRDefault="003A67D8"/>
        </w:tc>
      </w:tr>
      <w:tr w:rsidR="003A67D8" w14:paraId="52C3C734" w14:textId="77777777" w:rsidTr="003A67D8">
        <w:tc>
          <w:tcPr>
            <w:tcW w:w="2127" w:type="dxa"/>
          </w:tcPr>
          <w:p w14:paraId="05175C66" w14:textId="77777777" w:rsidR="003A67D8" w:rsidRDefault="003A67D8">
            <w:r>
              <w:t>Syklizin (Valoid)</w:t>
            </w:r>
          </w:p>
        </w:tc>
        <w:tc>
          <w:tcPr>
            <w:tcW w:w="850" w:type="dxa"/>
          </w:tcPr>
          <w:p w14:paraId="6C405DE3" w14:textId="77777777" w:rsidR="003A67D8" w:rsidRDefault="003A67D8">
            <w:r>
              <w:t>iv</w:t>
            </w:r>
          </w:p>
        </w:tc>
        <w:tc>
          <w:tcPr>
            <w:tcW w:w="1985" w:type="dxa"/>
          </w:tcPr>
          <w:p w14:paraId="7C5ECD70" w14:textId="77777777" w:rsidR="003A67D8" w:rsidRDefault="003A67D8">
            <w:r>
              <w:t>Max 50 mg x 3</w:t>
            </w:r>
          </w:p>
        </w:tc>
        <w:tc>
          <w:tcPr>
            <w:tcW w:w="4394" w:type="dxa"/>
          </w:tcPr>
          <w:p w14:paraId="5BFC4B2E" w14:textId="77777777" w:rsidR="003A67D8" w:rsidRDefault="003A67D8" w:rsidP="00B44A84">
            <w:r>
              <w:t xml:space="preserve">Tretthet, graviditet m bruk av annen anticholinergisk behandling. </w:t>
            </w:r>
          </w:p>
        </w:tc>
        <w:tc>
          <w:tcPr>
            <w:tcW w:w="1701" w:type="dxa"/>
            <w:shd w:val="clear" w:color="auto" w:fill="FFFFFF" w:themeFill="background1"/>
          </w:tcPr>
          <w:p w14:paraId="78DD0989" w14:textId="77777777" w:rsidR="003A67D8" w:rsidRDefault="003A67D8" w:rsidP="00B44A84"/>
        </w:tc>
      </w:tr>
      <w:tr w:rsidR="00093AA0" w14:paraId="757EAE0C" w14:textId="77777777" w:rsidTr="003A67D8">
        <w:tc>
          <w:tcPr>
            <w:tcW w:w="11057" w:type="dxa"/>
            <w:gridSpan w:val="5"/>
          </w:tcPr>
          <w:p w14:paraId="7F833789" w14:textId="41FF40A3" w:rsidR="00093AA0" w:rsidRDefault="00093AA0">
            <w:pPr>
              <w:rPr>
                <w:b/>
              </w:rPr>
            </w:pPr>
            <w:r w:rsidRPr="00D028DB">
              <w:rPr>
                <w:b/>
              </w:rPr>
              <w:t>Utarbeidet av anestesilegene og ryggkirurgene ved ortopedisk seksjon OUS Ullevål september</w:t>
            </w:r>
            <w:r>
              <w:rPr>
                <w:b/>
              </w:rPr>
              <w:t xml:space="preserve"> 2014. Revidert februar 2015, </w:t>
            </w:r>
            <w:r w:rsidRPr="00D028DB">
              <w:rPr>
                <w:b/>
              </w:rPr>
              <w:t>februar 2017</w:t>
            </w:r>
            <w:r>
              <w:rPr>
                <w:b/>
              </w:rPr>
              <w:t xml:space="preserve">, </w:t>
            </w:r>
            <w:r w:rsidR="00E92663">
              <w:rPr>
                <w:b/>
              </w:rPr>
              <w:t>2019 og juni 2022.</w:t>
            </w:r>
            <w:r w:rsidRPr="00D028DB">
              <w:rPr>
                <w:b/>
              </w:rPr>
              <w:t xml:space="preserve"> </w:t>
            </w:r>
          </w:p>
          <w:p w14:paraId="67F678A1" w14:textId="4DA42CCF" w:rsidR="009D1B22" w:rsidRPr="009D1B22" w:rsidRDefault="008B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093AA0" w:rsidRPr="00093AA0">
              <w:rPr>
                <w:b/>
                <w:sz w:val="28"/>
                <w:szCs w:val="28"/>
              </w:rPr>
              <w:t xml:space="preserve">nestesilege </w:t>
            </w:r>
            <w:r w:rsidR="009117A9">
              <w:rPr>
                <w:b/>
                <w:sz w:val="28"/>
                <w:szCs w:val="28"/>
              </w:rPr>
              <w:t xml:space="preserve">calling </w:t>
            </w:r>
            <w:r w:rsidR="00093AA0" w:rsidRPr="00093AA0">
              <w:rPr>
                <w:b/>
                <w:sz w:val="28"/>
                <w:szCs w:val="28"/>
              </w:rPr>
              <w:t xml:space="preserve">73572/73861 </w:t>
            </w:r>
            <w:r>
              <w:rPr>
                <w:b/>
                <w:sz w:val="28"/>
                <w:szCs w:val="28"/>
              </w:rPr>
              <w:t xml:space="preserve"> S</w:t>
            </w:r>
            <w:r w:rsidR="002967AF">
              <w:rPr>
                <w:b/>
                <w:sz w:val="28"/>
                <w:szCs w:val="28"/>
              </w:rPr>
              <w:t>merteteam calling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967A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="002967AF">
              <w:rPr>
                <w:b/>
                <w:sz w:val="28"/>
                <w:szCs w:val="28"/>
              </w:rPr>
              <w:t>47</w:t>
            </w:r>
            <w:r w:rsidR="00093AA0" w:rsidRPr="00093AA0">
              <w:rPr>
                <w:b/>
                <w:sz w:val="28"/>
                <w:szCs w:val="28"/>
              </w:rPr>
              <w:t>4</w:t>
            </w:r>
          </w:p>
        </w:tc>
      </w:tr>
      <w:tr w:rsidR="009D1B22" w14:paraId="5C8F89B1" w14:textId="77777777" w:rsidTr="003A67D8">
        <w:tc>
          <w:tcPr>
            <w:tcW w:w="11057" w:type="dxa"/>
            <w:gridSpan w:val="5"/>
          </w:tcPr>
          <w:p w14:paraId="09A223DF" w14:textId="1055EEC6" w:rsidR="009D1B22" w:rsidRPr="00D028DB" w:rsidRDefault="009D1B22" w:rsidP="009D1B22">
            <w:pPr>
              <w:rPr>
                <w:b/>
              </w:rPr>
            </w:pPr>
            <w:r w:rsidRPr="00D028DB">
              <w:rPr>
                <w:b/>
              </w:rPr>
              <w:t>Basert på smerteplanen til ryggseksjonen ved Rigshospitalet i København</w:t>
            </w:r>
            <w:r w:rsidR="00E92663">
              <w:rPr>
                <w:b/>
              </w:rPr>
              <w:t xml:space="preserve"> 2014</w:t>
            </w:r>
            <w:r w:rsidRPr="00D028DB">
              <w:rPr>
                <w:b/>
              </w:rPr>
              <w:t>.</w:t>
            </w:r>
            <w:r w:rsidR="00D21B43">
              <w:rPr>
                <w:b/>
              </w:rPr>
              <w:t xml:space="preserve"> Siste revisjon Ullevål: november 2023</w:t>
            </w:r>
            <w:r w:rsidR="00D21B43" w:rsidRPr="00D028DB">
              <w:rPr>
                <w:b/>
              </w:rPr>
              <w:t>.</w:t>
            </w:r>
          </w:p>
          <w:p w14:paraId="087C9666" w14:textId="77777777" w:rsidR="009D1B22" w:rsidRDefault="009D1B22">
            <w:pPr>
              <w:rPr>
                <w:b/>
              </w:rPr>
            </w:pPr>
            <w:r>
              <w:rPr>
                <w:b/>
              </w:rPr>
              <w:t xml:space="preserve">Referanser: </w:t>
            </w:r>
          </w:p>
          <w:p w14:paraId="5C6983A3" w14:textId="77777777" w:rsidR="00A9594E" w:rsidRPr="00CE0E8C" w:rsidRDefault="009D1B22" w:rsidP="00A9594E">
            <w:pPr>
              <w:pStyle w:val="Listeavsnitt"/>
              <w:numPr>
                <w:ilvl w:val="0"/>
                <w:numId w:val="6"/>
              </w:numPr>
              <w:rPr>
                <w:bCs/>
                <w:lang w:val="en-US"/>
              </w:rPr>
            </w:pPr>
            <w:r w:rsidRPr="00CE0E8C">
              <w:rPr>
                <w:bCs/>
                <w:lang w:val="en-US"/>
              </w:rPr>
              <w:t>Bae S, Alboog A, Esquivel K, Abbasi A, Zhou J, Chui J.</w:t>
            </w:r>
            <w:r w:rsidR="00A9594E" w:rsidRPr="00CE0E8C">
              <w:rPr>
                <w:bCs/>
                <w:lang w:val="en-US"/>
              </w:rPr>
              <w:t xml:space="preserve"> </w:t>
            </w:r>
          </w:p>
          <w:p w14:paraId="5F622D96" w14:textId="1A9B3DFA" w:rsidR="009D1B22" w:rsidRPr="00A9594E" w:rsidRDefault="009D1B22" w:rsidP="00A9594E">
            <w:pPr>
              <w:ind w:left="708"/>
              <w:rPr>
                <w:bCs/>
              </w:rPr>
            </w:pPr>
            <w:r w:rsidRPr="00CE0E8C">
              <w:rPr>
                <w:bCs/>
                <w:lang w:val="en-US"/>
              </w:rPr>
              <w:t>Efficacy of perioperative pharmacological and regional pain interventions in adult spine surgery:a network meta-analysis and systematic review of randomised controlles trials.</w:t>
            </w:r>
            <w:r w:rsidR="00A9594E" w:rsidRPr="00CE0E8C">
              <w:rPr>
                <w:bCs/>
                <w:lang w:val="en-US"/>
              </w:rPr>
              <w:t xml:space="preserve"> </w:t>
            </w:r>
            <w:r w:rsidR="00A9594E">
              <w:rPr>
                <w:bCs/>
                <w:i/>
                <w:iCs/>
              </w:rPr>
              <w:t xml:space="preserve">British Journal of Anaesthesia </w:t>
            </w:r>
            <w:r w:rsidR="00A9594E">
              <w:rPr>
                <w:bCs/>
              </w:rPr>
              <w:t>2021</w:t>
            </w:r>
          </w:p>
          <w:p w14:paraId="441865BA" w14:textId="77777777" w:rsidR="005E5EAB" w:rsidRPr="00CE0E8C" w:rsidRDefault="00A9594E" w:rsidP="005E5EAB">
            <w:pPr>
              <w:pStyle w:val="Listeavsnitt"/>
              <w:numPr>
                <w:ilvl w:val="0"/>
                <w:numId w:val="6"/>
              </w:numPr>
              <w:rPr>
                <w:bCs/>
                <w:lang w:val="en-US"/>
              </w:rPr>
            </w:pPr>
            <w:r w:rsidRPr="00CE0E8C">
              <w:rPr>
                <w:bCs/>
                <w:lang w:val="en-US"/>
              </w:rPr>
              <w:t xml:space="preserve">Waelkens P, Alsabbagh E, Sauter A, </w:t>
            </w:r>
            <w:r w:rsidR="005E5EAB" w:rsidRPr="00CE0E8C">
              <w:rPr>
                <w:bCs/>
                <w:lang w:val="en-US"/>
              </w:rPr>
              <w:t xml:space="preserve">Joshi G, Beloeil H. </w:t>
            </w:r>
          </w:p>
          <w:p w14:paraId="099BC446" w14:textId="28DD2E54" w:rsidR="005E5EAB" w:rsidRDefault="005E5EAB" w:rsidP="005E5EAB">
            <w:pPr>
              <w:ind w:left="708"/>
              <w:rPr>
                <w:bCs/>
              </w:rPr>
            </w:pPr>
            <w:r w:rsidRPr="00CE0E8C">
              <w:rPr>
                <w:bCs/>
                <w:lang w:val="en-US"/>
              </w:rPr>
              <w:t xml:space="preserve">Pain management after complex spine surgery. </w:t>
            </w:r>
            <w:r>
              <w:rPr>
                <w:bCs/>
                <w:i/>
                <w:iCs/>
              </w:rPr>
              <w:t xml:space="preserve">Eur J Anaesthesiol </w:t>
            </w:r>
            <w:r>
              <w:rPr>
                <w:bCs/>
              </w:rPr>
              <w:t>2021;</w:t>
            </w:r>
            <w:r w:rsidRPr="005E5EAB">
              <w:rPr>
                <w:b/>
              </w:rPr>
              <w:t>37</w:t>
            </w:r>
            <w:r>
              <w:rPr>
                <w:b/>
              </w:rPr>
              <w:t>:</w:t>
            </w:r>
            <w:r>
              <w:rPr>
                <w:bCs/>
              </w:rPr>
              <w:t>1-10</w:t>
            </w:r>
          </w:p>
          <w:p w14:paraId="638E1384" w14:textId="7470DF0C" w:rsidR="009D1B22" w:rsidRPr="00B03A76" w:rsidRDefault="003C0022" w:rsidP="00A9594E">
            <w:pPr>
              <w:pStyle w:val="Listeavsnitt"/>
              <w:numPr>
                <w:ilvl w:val="0"/>
                <w:numId w:val="6"/>
              </w:numPr>
              <w:rPr>
                <w:bCs/>
              </w:rPr>
            </w:pPr>
            <w:r w:rsidRPr="00CE0E8C">
              <w:rPr>
                <w:bCs/>
                <w:lang w:val="en-US"/>
              </w:rPr>
              <w:t>Verret</w:t>
            </w:r>
            <w:r w:rsidR="00224A68" w:rsidRPr="00CE0E8C">
              <w:rPr>
                <w:bCs/>
                <w:lang w:val="en-US"/>
              </w:rPr>
              <w:t xml:space="preserve"> M, Lauzier F, Zarychanski R, Peeron C, Savard X, Pinard A, Leblanc G, Cossi M, Neveu X, Turgeon A. Perioperative use of gabapentinoids for the management of postoperative acute pain</w:t>
            </w:r>
            <w:r w:rsidR="006B5645" w:rsidRPr="00CE0E8C">
              <w:rPr>
                <w:bCs/>
                <w:lang w:val="en-US"/>
              </w:rPr>
              <w:t xml:space="preserve">. </w:t>
            </w:r>
            <w:r w:rsidRPr="006B5645">
              <w:rPr>
                <w:bCs/>
                <w:i/>
                <w:iCs/>
              </w:rPr>
              <w:t>Anesthesiology</w:t>
            </w:r>
            <w:r w:rsidR="006B5645">
              <w:rPr>
                <w:bCs/>
                <w:i/>
                <w:iCs/>
              </w:rPr>
              <w:t xml:space="preserve"> </w:t>
            </w:r>
            <w:r w:rsidR="006B5645">
              <w:rPr>
                <w:bCs/>
              </w:rPr>
              <w:t>2020;</w:t>
            </w:r>
            <w:r w:rsidR="006B5645" w:rsidRPr="006B5645">
              <w:rPr>
                <w:b/>
              </w:rPr>
              <w:t>133</w:t>
            </w:r>
            <w:r w:rsidR="006B5645">
              <w:rPr>
                <w:b/>
              </w:rPr>
              <w:t>:</w:t>
            </w:r>
            <w:r w:rsidR="006B5645">
              <w:rPr>
                <w:bCs/>
              </w:rPr>
              <w:t>265-279</w:t>
            </w:r>
          </w:p>
        </w:tc>
      </w:tr>
    </w:tbl>
    <w:p w14:paraId="17E80257" w14:textId="77777777" w:rsidR="00484D54" w:rsidRDefault="00484D54"/>
    <w:sectPr w:rsidR="00484D54" w:rsidSect="003A67D8">
      <w:head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C6CA" w14:textId="77777777" w:rsidR="005E36F8" w:rsidRDefault="005E36F8" w:rsidP="006359C5">
      <w:pPr>
        <w:spacing w:after="0" w:line="240" w:lineRule="auto"/>
      </w:pPr>
      <w:r>
        <w:separator/>
      </w:r>
    </w:p>
  </w:endnote>
  <w:endnote w:type="continuationSeparator" w:id="0">
    <w:p w14:paraId="16C2B30A" w14:textId="77777777" w:rsidR="005E36F8" w:rsidRDefault="005E36F8" w:rsidP="006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C917" w14:textId="77777777" w:rsidR="005E36F8" w:rsidRDefault="005E36F8" w:rsidP="006359C5">
      <w:pPr>
        <w:spacing w:after="0" w:line="240" w:lineRule="auto"/>
      </w:pPr>
      <w:r>
        <w:separator/>
      </w:r>
    </w:p>
  </w:footnote>
  <w:footnote w:type="continuationSeparator" w:id="0">
    <w:p w14:paraId="2A213820" w14:textId="77777777" w:rsidR="005E36F8" w:rsidRDefault="005E36F8" w:rsidP="0063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445859"/>
      <w:docPartObj>
        <w:docPartGallery w:val="Page Numbers (Top of Page)"/>
        <w:docPartUnique/>
      </w:docPartObj>
    </w:sdtPr>
    <w:sdtEndPr/>
    <w:sdtContent>
      <w:p w14:paraId="4889AF90" w14:textId="288C6C75" w:rsidR="0032137C" w:rsidRDefault="0032137C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D8">
          <w:rPr>
            <w:noProof/>
          </w:rPr>
          <w:t>2</w:t>
        </w:r>
        <w:r>
          <w:fldChar w:fldCharType="end"/>
        </w:r>
      </w:p>
    </w:sdtContent>
  </w:sdt>
  <w:p w14:paraId="6520FCE1" w14:textId="77777777" w:rsidR="0032137C" w:rsidRDefault="0032137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5D3"/>
    <w:multiLevelType w:val="hybridMultilevel"/>
    <w:tmpl w:val="732A92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49E"/>
    <w:multiLevelType w:val="hybridMultilevel"/>
    <w:tmpl w:val="BB1A4784"/>
    <w:lvl w:ilvl="0" w:tplc="5E16DE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70" w:hanging="360"/>
      </w:pPr>
    </w:lvl>
    <w:lvl w:ilvl="2" w:tplc="0414001B" w:tentative="1">
      <w:start w:val="1"/>
      <w:numFmt w:val="lowerRoman"/>
      <w:lvlText w:val="%3."/>
      <w:lvlJc w:val="right"/>
      <w:pPr>
        <w:ind w:left="3390" w:hanging="180"/>
      </w:pPr>
    </w:lvl>
    <w:lvl w:ilvl="3" w:tplc="0414000F" w:tentative="1">
      <w:start w:val="1"/>
      <w:numFmt w:val="decimal"/>
      <w:lvlText w:val="%4."/>
      <w:lvlJc w:val="left"/>
      <w:pPr>
        <w:ind w:left="4110" w:hanging="360"/>
      </w:pPr>
    </w:lvl>
    <w:lvl w:ilvl="4" w:tplc="04140019" w:tentative="1">
      <w:start w:val="1"/>
      <w:numFmt w:val="lowerLetter"/>
      <w:lvlText w:val="%5."/>
      <w:lvlJc w:val="left"/>
      <w:pPr>
        <w:ind w:left="4830" w:hanging="360"/>
      </w:pPr>
    </w:lvl>
    <w:lvl w:ilvl="5" w:tplc="0414001B" w:tentative="1">
      <w:start w:val="1"/>
      <w:numFmt w:val="lowerRoman"/>
      <w:lvlText w:val="%6."/>
      <w:lvlJc w:val="right"/>
      <w:pPr>
        <w:ind w:left="5550" w:hanging="180"/>
      </w:pPr>
    </w:lvl>
    <w:lvl w:ilvl="6" w:tplc="0414000F" w:tentative="1">
      <w:start w:val="1"/>
      <w:numFmt w:val="decimal"/>
      <w:lvlText w:val="%7."/>
      <w:lvlJc w:val="left"/>
      <w:pPr>
        <w:ind w:left="6270" w:hanging="360"/>
      </w:pPr>
    </w:lvl>
    <w:lvl w:ilvl="7" w:tplc="04140019" w:tentative="1">
      <w:start w:val="1"/>
      <w:numFmt w:val="lowerLetter"/>
      <w:lvlText w:val="%8."/>
      <w:lvlJc w:val="left"/>
      <w:pPr>
        <w:ind w:left="6990" w:hanging="360"/>
      </w:pPr>
    </w:lvl>
    <w:lvl w:ilvl="8" w:tplc="0414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1A5D1F90"/>
    <w:multiLevelType w:val="hybridMultilevel"/>
    <w:tmpl w:val="76B0A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3BD3"/>
    <w:multiLevelType w:val="hybridMultilevel"/>
    <w:tmpl w:val="F3DCC9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2D56"/>
    <w:multiLevelType w:val="hybridMultilevel"/>
    <w:tmpl w:val="9F6ED6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87609"/>
    <w:multiLevelType w:val="hybridMultilevel"/>
    <w:tmpl w:val="50BCCD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1E"/>
    <w:rsid w:val="000036C7"/>
    <w:rsid w:val="00035992"/>
    <w:rsid w:val="00044020"/>
    <w:rsid w:val="000522F3"/>
    <w:rsid w:val="0006503A"/>
    <w:rsid w:val="00082E9B"/>
    <w:rsid w:val="00093AA0"/>
    <w:rsid w:val="000B134E"/>
    <w:rsid w:val="000B6540"/>
    <w:rsid w:val="000E0704"/>
    <w:rsid w:val="000F1875"/>
    <w:rsid w:val="001123E5"/>
    <w:rsid w:val="001227E8"/>
    <w:rsid w:val="0013014B"/>
    <w:rsid w:val="00130F41"/>
    <w:rsid w:val="0013768F"/>
    <w:rsid w:val="00156006"/>
    <w:rsid w:val="00161958"/>
    <w:rsid w:val="00177682"/>
    <w:rsid w:val="00187588"/>
    <w:rsid w:val="001D1416"/>
    <w:rsid w:val="001D5AB5"/>
    <w:rsid w:val="001E3DE7"/>
    <w:rsid w:val="001E7B76"/>
    <w:rsid w:val="00200878"/>
    <w:rsid w:val="002021F6"/>
    <w:rsid w:val="00224A68"/>
    <w:rsid w:val="00226989"/>
    <w:rsid w:val="00227935"/>
    <w:rsid w:val="00232ED9"/>
    <w:rsid w:val="00246AB2"/>
    <w:rsid w:val="002867A1"/>
    <w:rsid w:val="002967AF"/>
    <w:rsid w:val="002A1542"/>
    <w:rsid w:val="002A3E5C"/>
    <w:rsid w:val="002B14CE"/>
    <w:rsid w:val="002D70BF"/>
    <w:rsid w:val="002E42A1"/>
    <w:rsid w:val="002F071E"/>
    <w:rsid w:val="002F3BD4"/>
    <w:rsid w:val="0031185D"/>
    <w:rsid w:val="00312D43"/>
    <w:rsid w:val="00313A82"/>
    <w:rsid w:val="00320E0A"/>
    <w:rsid w:val="0032137C"/>
    <w:rsid w:val="0032366F"/>
    <w:rsid w:val="00350FF7"/>
    <w:rsid w:val="00365CE0"/>
    <w:rsid w:val="00372D19"/>
    <w:rsid w:val="00384102"/>
    <w:rsid w:val="003A67D8"/>
    <w:rsid w:val="003B0635"/>
    <w:rsid w:val="003B5AB8"/>
    <w:rsid w:val="003B5EF9"/>
    <w:rsid w:val="003B67AF"/>
    <w:rsid w:val="003C0022"/>
    <w:rsid w:val="003E77CA"/>
    <w:rsid w:val="00401310"/>
    <w:rsid w:val="004204A4"/>
    <w:rsid w:val="004310AE"/>
    <w:rsid w:val="00450266"/>
    <w:rsid w:val="00453326"/>
    <w:rsid w:val="004711A2"/>
    <w:rsid w:val="00473943"/>
    <w:rsid w:val="00481E69"/>
    <w:rsid w:val="00484D54"/>
    <w:rsid w:val="0048718F"/>
    <w:rsid w:val="0049383C"/>
    <w:rsid w:val="00493A7E"/>
    <w:rsid w:val="004A097F"/>
    <w:rsid w:val="004B66FF"/>
    <w:rsid w:val="004C71A8"/>
    <w:rsid w:val="004D2073"/>
    <w:rsid w:val="004D2802"/>
    <w:rsid w:val="00526619"/>
    <w:rsid w:val="00526A26"/>
    <w:rsid w:val="00553A2D"/>
    <w:rsid w:val="00555D50"/>
    <w:rsid w:val="00570EC2"/>
    <w:rsid w:val="005724B3"/>
    <w:rsid w:val="00575CA3"/>
    <w:rsid w:val="0057757B"/>
    <w:rsid w:val="0058257B"/>
    <w:rsid w:val="00582D02"/>
    <w:rsid w:val="00583A5B"/>
    <w:rsid w:val="00583EF7"/>
    <w:rsid w:val="00584A96"/>
    <w:rsid w:val="005865FD"/>
    <w:rsid w:val="00587EAD"/>
    <w:rsid w:val="005B0AD8"/>
    <w:rsid w:val="005B538D"/>
    <w:rsid w:val="005B5909"/>
    <w:rsid w:val="005B72D5"/>
    <w:rsid w:val="005C0027"/>
    <w:rsid w:val="005C41B6"/>
    <w:rsid w:val="005D3EDB"/>
    <w:rsid w:val="005E0B18"/>
    <w:rsid w:val="005E36F8"/>
    <w:rsid w:val="005E5EAB"/>
    <w:rsid w:val="005F103F"/>
    <w:rsid w:val="00605416"/>
    <w:rsid w:val="0061735B"/>
    <w:rsid w:val="006359C5"/>
    <w:rsid w:val="00642126"/>
    <w:rsid w:val="006A3BCF"/>
    <w:rsid w:val="006B5645"/>
    <w:rsid w:val="006C33D6"/>
    <w:rsid w:val="006D6AA6"/>
    <w:rsid w:val="006E55A6"/>
    <w:rsid w:val="006E7BFC"/>
    <w:rsid w:val="006F24B6"/>
    <w:rsid w:val="007036F9"/>
    <w:rsid w:val="00710416"/>
    <w:rsid w:val="00712DD7"/>
    <w:rsid w:val="00725E2F"/>
    <w:rsid w:val="00753AAD"/>
    <w:rsid w:val="007A619B"/>
    <w:rsid w:val="007C3F33"/>
    <w:rsid w:val="007D68B2"/>
    <w:rsid w:val="007E3C29"/>
    <w:rsid w:val="00802B2C"/>
    <w:rsid w:val="00805E4A"/>
    <w:rsid w:val="008177C3"/>
    <w:rsid w:val="00822A6B"/>
    <w:rsid w:val="008355C9"/>
    <w:rsid w:val="008801D0"/>
    <w:rsid w:val="008B620E"/>
    <w:rsid w:val="008B6D41"/>
    <w:rsid w:val="008C2F3E"/>
    <w:rsid w:val="008C73A2"/>
    <w:rsid w:val="009056BF"/>
    <w:rsid w:val="00911589"/>
    <w:rsid w:val="009117A9"/>
    <w:rsid w:val="00960B00"/>
    <w:rsid w:val="00964AAA"/>
    <w:rsid w:val="009660C2"/>
    <w:rsid w:val="00987CC2"/>
    <w:rsid w:val="009A0014"/>
    <w:rsid w:val="009A0695"/>
    <w:rsid w:val="009A6152"/>
    <w:rsid w:val="009C5BCB"/>
    <w:rsid w:val="009D1B22"/>
    <w:rsid w:val="009E5621"/>
    <w:rsid w:val="009F53E9"/>
    <w:rsid w:val="00A27AD7"/>
    <w:rsid w:val="00A3487B"/>
    <w:rsid w:val="00A52F55"/>
    <w:rsid w:val="00A54EED"/>
    <w:rsid w:val="00A560AE"/>
    <w:rsid w:val="00A61AD9"/>
    <w:rsid w:val="00A761E8"/>
    <w:rsid w:val="00A81DDF"/>
    <w:rsid w:val="00A820D1"/>
    <w:rsid w:val="00A90F77"/>
    <w:rsid w:val="00A9594E"/>
    <w:rsid w:val="00A96968"/>
    <w:rsid w:val="00AA18B8"/>
    <w:rsid w:val="00AA41AF"/>
    <w:rsid w:val="00AA725A"/>
    <w:rsid w:val="00AC2DDB"/>
    <w:rsid w:val="00AC33D4"/>
    <w:rsid w:val="00AD2547"/>
    <w:rsid w:val="00AF077D"/>
    <w:rsid w:val="00B03A76"/>
    <w:rsid w:val="00B27E23"/>
    <w:rsid w:val="00B33CF7"/>
    <w:rsid w:val="00B44A84"/>
    <w:rsid w:val="00B44CDA"/>
    <w:rsid w:val="00B57BCC"/>
    <w:rsid w:val="00B71825"/>
    <w:rsid w:val="00B93DA2"/>
    <w:rsid w:val="00B96FF8"/>
    <w:rsid w:val="00BA6E4C"/>
    <w:rsid w:val="00BB2638"/>
    <w:rsid w:val="00BC32E6"/>
    <w:rsid w:val="00BE0740"/>
    <w:rsid w:val="00C0050E"/>
    <w:rsid w:val="00C01F81"/>
    <w:rsid w:val="00C0352A"/>
    <w:rsid w:val="00C153A8"/>
    <w:rsid w:val="00C15D6F"/>
    <w:rsid w:val="00C51CD5"/>
    <w:rsid w:val="00C53310"/>
    <w:rsid w:val="00C910BC"/>
    <w:rsid w:val="00C91CFE"/>
    <w:rsid w:val="00CA581C"/>
    <w:rsid w:val="00CB1914"/>
    <w:rsid w:val="00CB2120"/>
    <w:rsid w:val="00CB3EE8"/>
    <w:rsid w:val="00CD05B0"/>
    <w:rsid w:val="00CD363A"/>
    <w:rsid w:val="00CD3F17"/>
    <w:rsid w:val="00CE0E8C"/>
    <w:rsid w:val="00CF0EB1"/>
    <w:rsid w:val="00CF21F3"/>
    <w:rsid w:val="00CF36FB"/>
    <w:rsid w:val="00D00B54"/>
    <w:rsid w:val="00D00BB9"/>
    <w:rsid w:val="00D028DB"/>
    <w:rsid w:val="00D03BF3"/>
    <w:rsid w:val="00D21B43"/>
    <w:rsid w:val="00D364C8"/>
    <w:rsid w:val="00D7596C"/>
    <w:rsid w:val="00D80EC2"/>
    <w:rsid w:val="00D934F9"/>
    <w:rsid w:val="00D949F0"/>
    <w:rsid w:val="00D95A93"/>
    <w:rsid w:val="00DB7C87"/>
    <w:rsid w:val="00DD57F3"/>
    <w:rsid w:val="00DE5112"/>
    <w:rsid w:val="00DF643C"/>
    <w:rsid w:val="00E51825"/>
    <w:rsid w:val="00E64DB1"/>
    <w:rsid w:val="00E73D33"/>
    <w:rsid w:val="00E74D3A"/>
    <w:rsid w:val="00E81C1B"/>
    <w:rsid w:val="00E83C64"/>
    <w:rsid w:val="00E90A1B"/>
    <w:rsid w:val="00E910EA"/>
    <w:rsid w:val="00E92663"/>
    <w:rsid w:val="00E92B43"/>
    <w:rsid w:val="00E94098"/>
    <w:rsid w:val="00E96658"/>
    <w:rsid w:val="00EC328D"/>
    <w:rsid w:val="00EE0855"/>
    <w:rsid w:val="00EF505E"/>
    <w:rsid w:val="00F03507"/>
    <w:rsid w:val="00F33EE0"/>
    <w:rsid w:val="00F426B5"/>
    <w:rsid w:val="00F434B3"/>
    <w:rsid w:val="00F554B4"/>
    <w:rsid w:val="00F66148"/>
    <w:rsid w:val="00F70516"/>
    <w:rsid w:val="00F75C22"/>
    <w:rsid w:val="00F90938"/>
    <w:rsid w:val="00F96C91"/>
    <w:rsid w:val="00FC1F34"/>
    <w:rsid w:val="00FC36F6"/>
    <w:rsid w:val="00FC4A34"/>
    <w:rsid w:val="00FE66EA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FC81"/>
  <w15:docId w15:val="{4C458D52-ECFD-4CAA-BCED-362800A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5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036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3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59C5"/>
  </w:style>
  <w:style w:type="paragraph" w:styleId="Bunntekst">
    <w:name w:val="footer"/>
    <w:basedOn w:val="Normal"/>
    <w:link w:val="BunntekstTegn"/>
    <w:uiPriority w:val="99"/>
    <w:unhideWhenUsed/>
    <w:rsid w:val="0063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1259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Hallgeir Bratberg</dc:creator>
  <cp:lastModifiedBy>Sarmad Shafiq</cp:lastModifiedBy>
  <cp:revision>13</cp:revision>
  <dcterms:created xsi:type="dcterms:W3CDTF">2023-06-06T10:06:00Z</dcterms:created>
  <dcterms:modified xsi:type="dcterms:W3CDTF">2024-01-08T12:36:00Z</dcterms:modified>
</cp:coreProperties>
</file>