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3510"/>
        <w:gridCol w:w="5701"/>
      </w:tblGrid>
      <w:tr w:rsidR="00467763" w14:paraId="0E66F79A" w14:textId="77777777">
        <w:tc>
          <w:tcPr>
            <w:tcW w:w="3510" w:type="dxa"/>
          </w:tcPr>
          <w:p w14:paraId="38E0F699" w14:textId="77777777" w:rsidR="00467763" w:rsidRDefault="001A0CAF">
            <w:pPr>
              <w:pStyle w:val="Topptekst"/>
            </w:pPr>
            <w:bookmarkStart w:id="0" w:name="_GoBack"/>
            <w:bookmarkEnd w:id="0"/>
            <w:r>
              <w:rPr>
                <w:noProof/>
              </w:rPr>
              <w:drawing>
                <wp:inline distT="0" distB="0" distL="0" distR="0" wp14:anchorId="267DE5B2" wp14:editId="46E19556">
                  <wp:extent cx="1930400" cy="394970"/>
                  <wp:effectExtent l="0" t="0" r="0" b="5080"/>
                  <wp:docPr id="1" name="Bild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0400" cy="394970"/>
                          </a:xfrm>
                          <a:prstGeom prst="rect">
                            <a:avLst/>
                          </a:prstGeom>
                          <a:noFill/>
                          <a:ln>
                            <a:noFill/>
                          </a:ln>
                        </pic:spPr>
                      </pic:pic>
                    </a:graphicData>
                  </a:graphic>
                </wp:inline>
              </w:drawing>
            </w:r>
          </w:p>
        </w:tc>
        <w:tc>
          <w:tcPr>
            <w:tcW w:w="5701" w:type="dxa"/>
            <w:vAlign w:val="bottom"/>
          </w:tcPr>
          <w:p w14:paraId="29612220" w14:textId="77777777" w:rsidR="00467763" w:rsidRDefault="00467763" w:rsidP="00CB27C2">
            <w:pPr>
              <w:pStyle w:val="Topptekst"/>
            </w:pPr>
            <w:r>
              <w:rPr>
                <w:sz w:val="20"/>
              </w:rPr>
              <w:t xml:space="preserve">Vedlegg til: </w:t>
            </w:r>
            <w:r>
              <w:rPr>
                <w:sz w:val="20"/>
              </w:rPr>
              <w:br/>
            </w:r>
            <w:r w:rsidR="00CB27C2" w:rsidRPr="00CB27C2">
              <w:t>Graft versus host disease (GVHD) - diagnostikk og behandling av kronisk</w:t>
            </w:r>
            <w:r w:rsidR="00887835">
              <w:t xml:space="preserve"> (</w:t>
            </w:r>
            <w:r w:rsidR="00CB27C2">
              <w:t>dok id. 1840)</w:t>
            </w:r>
          </w:p>
        </w:tc>
      </w:tr>
      <w:tr w:rsidR="00467763" w14:paraId="61358DC9" w14:textId="77777777">
        <w:trPr>
          <w:trHeight w:val="801"/>
        </w:trPr>
        <w:tc>
          <w:tcPr>
            <w:tcW w:w="9211" w:type="dxa"/>
            <w:gridSpan w:val="2"/>
            <w:vAlign w:val="bottom"/>
          </w:tcPr>
          <w:p w14:paraId="1F35777C" w14:textId="77777777" w:rsidR="00467763" w:rsidRDefault="00CB27C2">
            <w:pPr>
              <w:pStyle w:val="StilOverskrift1Fr0ptEtter6pt"/>
              <w:rPr>
                <w:sz w:val="28"/>
              </w:rPr>
            </w:pPr>
            <w:r>
              <w:rPr>
                <w:sz w:val="28"/>
              </w:rPr>
              <w:t>Kronisk GVHD munnhule</w:t>
            </w:r>
          </w:p>
        </w:tc>
      </w:tr>
    </w:tbl>
    <w:p w14:paraId="5E8D4BA2" w14:textId="77777777" w:rsidR="00467763" w:rsidRDefault="00467763"/>
    <w:p w14:paraId="6D9B6A1A" w14:textId="77777777" w:rsidR="00CB27C2" w:rsidRPr="00790FD7" w:rsidRDefault="00CB27C2" w:rsidP="00CB27C2">
      <w:pPr>
        <w:jc w:val="center"/>
        <w:rPr>
          <w:b/>
          <w:sz w:val="32"/>
          <w:szCs w:val="32"/>
        </w:rPr>
      </w:pPr>
      <w:r w:rsidRPr="00790FD7">
        <w:rPr>
          <w:b/>
          <w:sz w:val="32"/>
          <w:szCs w:val="32"/>
        </w:rPr>
        <w:t>Kronisk GVHD i munnhule</w:t>
      </w:r>
    </w:p>
    <w:p w14:paraId="7E4268FE" w14:textId="77777777" w:rsidR="00CB27C2" w:rsidRDefault="00CB27C2" w:rsidP="00CB27C2">
      <w:pPr>
        <w:rPr>
          <w:sz w:val="24"/>
          <w:szCs w:val="24"/>
        </w:rPr>
      </w:pPr>
    </w:p>
    <w:p w14:paraId="54C2DAB9" w14:textId="77777777" w:rsidR="00CB27C2" w:rsidRPr="00234398"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 xml:space="preserve">Munnhuleaffeksjon ved kronisk GVHD (cGVHD) er svært vanlig og kan gi betydelige plager. Plagene kan ofte lindres av lokal behandling som består av steroider og/eller takrolimus. Ved manglende effekt av lokal behandling kan tillegg av systemisk immunhemmende behandling eller ECP være aktuelt. </w:t>
      </w:r>
    </w:p>
    <w:p w14:paraId="524DCE30" w14:textId="77777777" w:rsidR="00CB27C2" w:rsidRPr="00234398"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 xml:space="preserve">Pasientene har økt risiko for Candida stomatitt og Herpes simplex infeksjon og dette kan forklare forverring av symptomer.  </w:t>
      </w:r>
    </w:p>
    <w:p w14:paraId="0DEBDF42" w14:textId="77777777" w:rsidR="00CB27C2" w:rsidRPr="00234398"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Pasientene oppfordres til god tannhygiene og må følges regelmessig av kliniker og tannlege. Munnhule GVHD gir økt risiko for sekundær cancer som plateepitelkarsinom.</w:t>
      </w:r>
    </w:p>
    <w:p w14:paraId="2CE095F5" w14:textId="77777777" w:rsidR="00CB27C2" w:rsidRPr="00234398" w:rsidRDefault="00CB27C2" w:rsidP="00CB27C2">
      <w:pPr>
        <w:rPr>
          <w:rFonts w:asciiTheme="minorHAnsi" w:hAnsiTheme="minorHAnsi" w:cstheme="minorHAnsi"/>
          <w:sz w:val="24"/>
          <w:szCs w:val="24"/>
        </w:rPr>
      </w:pPr>
    </w:p>
    <w:p w14:paraId="3EE5AD93" w14:textId="77777777" w:rsidR="00CB27C2" w:rsidRPr="001B7668" w:rsidRDefault="00CB27C2" w:rsidP="00CB27C2">
      <w:pPr>
        <w:rPr>
          <w:rFonts w:asciiTheme="minorHAnsi" w:hAnsiTheme="minorHAnsi" w:cstheme="minorHAnsi"/>
          <w:b/>
          <w:sz w:val="28"/>
          <w:szCs w:val="28"/>
        </w:rPr>
      </w:pPr>
      <w:r w:rsidRPr="001B7668">
        <w:rPr>
          <w:rFonts w:asciiTheme="minorHAnsi" w:hAnsiTheme="minorHAnsi" w:cstheme="minorHAnsi"/>
          <w:b/>
          <w:sz w:val="28"/>
          <w:szCs w:val="28"/>
        </w:rPr>
        <w:t>Forekomst og diagnose</w:t>
      </w:r>
    </w:p>
    <w:p w14:paraId="0C40A484" w14:textId="773DF642" w:rsidR="00CB27C2"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Munnhuleaffeksjon ses hyppig ved cGVHD (80%) og kan i verste fall gi redusert matinntak og vekttap. Hos noen pasienter kan affeksjon av slimhinner, lepper og spyttkjertler i munnhule være eneste GVHD manifestasjon. Særlig hos denne gruppen bør man vurdere biopsi for å bekrefte klinisk mistanke, ellers er ikke diagnostisk biopsi nødvendig hos pasienter som har andre sikre cGVHD organmanifestasjoner.</w:t>
      </w:r>
    </w:p>
    <w:p w14:paraId="1F1D4A46" w14:textId="77777777" w:rsidR="001B7668" w:rsidRPr="00234398" w:rsidRDefault="001B7668" w:rsidP="00CB27C2">
      <w:pPr>
        <w:rPr>
          <w:rFonts w:asciiTheme="minorHAnsi" w:hAnsiTheme="minorHAnsi" w:cstheme="minorHAnsi"/>
          <w:sz w:val="24"/>
          <w:szCs w:val="24"/>
        </w:rPr>
      </w:pPr>
    </w:p>
    <w:p w14:paraId="26F413B4" w14:textId="77777777" w:rsidR="00CB27C2" w:rsidRPr="001B7668" w:rsidRDefault="00CB27C2" w:rsidP="00CB27C2">
      <w:pPr>
        <w:rPr>
          <w:rFonts w:asciiTheme="minorHAnsi" w:hAnsiTheme="minorHAnsi" w:cstheme="minorHAnsi"/>
          <w:b/>
          <w:sz w:val="28"/>
          <w:szCs w:val="28"/>
        </w:rPr>
      </w:pPr>
      <w:r w:rsidRPr="001B7668">
        <w:rPr>
          <w:rFonts w:asciiTheme="minorHAnsi" w:hAnsiTheme="minorHAnsi" w:cstheme="minorHAnsi"/>
          <w:b/>
          <w:sz w:val="28"/>
          <w:szCs w:val="28"/>
        </w:rPr>
        <w:t>Symptomer og funn</w:t>
      </w:r>
    </w:p>
    <w:p w14:paraId="7CA49942" w14:textId="77777777" w:rsidR="00CB27C2" w:rsidRPr="00234398"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 xml:space="preserve">Pasientene kan klage på tørr munnhule, intoleranse for sterk mat/drikke, sårhet/smerter og vansker med å gape og svelge. Det er verdt å merke seg at subjektive symptomer ofte ikke er i overenstemmelse med kliniske funn. </w:t>
      </w:r>
    </w:p>
    <w:p w14:paraId="51987402" w14:textId="63587049" w:rsidR="00CB27C2"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Ved inspeksjon er typisk slimhinnen buccalt affisert med rødme, lichenifisering, hyperkeratose og sår. Man kan også se tilsvarende forandringer på tunge, gane, tannkjøtt og lepper. Manglende evne til å gape kan skyldes overfladisk slimhinneskade, men i verste fall sklerodermoide/fibrose forandringer.</w:t>
      </w:r>
    </w:p>
    <w:p w14:paraId="52D885D2" w14:textId="77777777" w:rsidR="001B7668" w:rsidRPr="00234398" w:rsidRDefault="001B7668" w:rsidP="00CB27C2">
      <w:pPr>
        <w:rPr>
          <w:rFonts w:asciiTheme="minorHAnsi" w:hAnsiTheme="minorHAnsi" w:cstheme="minorHAnsi"/>
          <w:sz w:val="24"/>
          <w:szCs w:val="24"/>
        </w:rPr>
      </w:pPr>
    </w:p>
    <w:p w14:paraId="60A75474" w14:textId="77777777" w:rsidR="00CB27C2" w:rsidRPr="001B7668" w:rsidRDefault="00CB27C2" w:rsidP="00CB27C2">
      <w:pPr>
        <w:rPr>
          <w:rFonts w:asciiTheme="minorHAnsi" w:hAnsiTheme="minorHAnsi" w:cstheme="minorHAnsi"/>
          <w:b/>
          <w:sz w:val="28"/>
          <w:szCs w:val="28"/>
        </w:rPr>
      </w:pPr>
      <w:r w:rsidRPr="001B7668">
        <w:rPr>
          <w:rFonts w:asciiTheme="minorHAnsi" w:hAnsiTheme="minorHAnsi" w:cstheme="minorHAnsi"/>
          <w:b/>
          <w:sz w:val="28"/>
          <w:szCs w:val="28"/>
        </w:rPr>
        <w:t>Behandling</w:t>
      </w:r>
    </w:p>
    <w:p w14:paraId="0E5FDD48" w14:textId="77777777" w:rsidR="00CB27C2" w:rsidRPr="00234398"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 xml:space="preserve">Første linje behandling ved oral cGVHD er lokal behandling. </w:t>
      </w:r>
    </w:p>
    <w:p w14:paraId="0EB8BF4B" w14:textId="595E9CBD" w:rsidR="00CB27C2"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Man</w:t>
      </w:r>
      <w:r w:rsidR="00BB1DE2">
        <w:rPr>
          <w:rFonts w:asciiTheme="minorHAnsi" w:hAnsiTheme="minorHAnsi" w:cstheme="minorHAnsi"/>
          <w:sz w:val="24"/>
          <w:szCs w:val="24"/>
        </w:rPr>
        <w:t xml:space="preserve"> begynner med steroid munngel </w:t>
      </w:r>
      <w:r w:rsidRPr="00234398">
        <w:rPr>
          <w:rFonts w:asciiTheme="minorHAnsi" w:hAnsiTheme="minorHAnsi" w:cstheme="minorHAnsi"/>
          <w:sz w:val="24"/>
          <w:szCs w:val="24"/>
        </w:rPr>
        <w:t>som skylles i inntil 5 minutter</w:t>
      </w:r>
      <w:r w:rsidR="00BB1DE2">
        <w:rPr>
          <w:rFonts w:asciiTheme="minorHAnsi" w:hAnsiTheme="minorHAnsi" w:cstheme="minorHAnsi"/>
          <w:sz w:val="24"/>
          <w:szCs w:val="24"/>
        </w:rPr>
        <w:t>. Se doseringsanbefaling på neste side</w:t>
      </w:r>
      <w:r w:rsidRPr="00234398">
        <w:rPr>
          <w:rFonts w:asciiTheme="minorHAnsi" w:hAnsiTheme="minorHAnsi" w:cstheme="minorHAnsi"/>
          <w:sz w:val="24"/>
          <w:szCs w:val="24"/>
        </w:rPr>
        <w:t xml:space="preserve">. Man anbefaler ikke å svelge løsningen. </w:t>
      </w:r>
    </w:p>
    <w:p w14:paraId="1DAFE504" w14:textId="7BC635B6" w:rsidR="00EE40E4" w:rsidRDefault="00EE40E4" w:rsidP="00CB27C2">
      <w:pPr>
        <w:rPr>
          <w:rFonts w:asciiTheme="minorHAnsi" w:hAnsiTheme="minorHAnsi" w:cstheme="minorHAnsi"/>
          <w:sz w:val="24"/>
          <w:szCs w:val="24"/>
        </w:rPr>
      </w:pPr>
      <w:r>
        <w:rPr>
          <w:rFonts w:asciiTheme="minorHAnsi" w:hAnsiTheme="minorHAnsi" w:cstheme="minorHAnsi"/>
          <w:sz w:val="24"/>
          <w:szCs w:val="24"/>
        </w:rPr>
        <w:t>Vi har to steroidformulering 1) klobetasol munngel og 2) budesonid smelte tbl (1mg).</w:t>
      </w:r>
    </w:p>
    <w:p w14:paraId="7E077C3A" w14:textId="5CCE0BF9" w:rsidR="00EE40E4" w:rsidRPr="00234398" w:rsidRDefault="00EE40E4" w:rsidP="00CB27C2">
      <w:pPr>
        <w:rPr>
          <w:rFonts w:asciiTheme="minorHAnsi" w:hAnsiTheme="minorHAnsi" w:cstheme="minorHAnsi"/>
          <w:sz w:val="24"/>
          <w:szCs w:val="24"/>
        </w:rPr>
      </w:pPr>
      <w:r>
        <w:rPr>
          <w:rFonts w:asciiTheme="minorHAnsi" w:hAnsiTheme="minorHAnsi" w:cstheme="minorHAnsi"/>
          <w:sz w:val="24"/>
          <w:szCs w:val="24"/>
        </w:rPr>
        <w:t xml:space="preserve">Den siste kan særlig gi effekt dersom inflammasjonen går ned i svelg og mot spiserør. </w:t>
      </w:r>
    </w:p>
    <w:p w14:paraId="608F5332" w14:textId="77777777" w:rsidR="00CB27C2" w:rsidRPr="00234398"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 xml:space="preserve">Ved manglende effekt vil man legge til takrolimus salve. Takrolimus brukes ved oppstart morgen og kveld. Ved effekt kan man fortsette med sjeldnere bruk. Takrolimus som lokal behandling kan gi systemisk effekt og serumkonsentrasjon bør tas etter noe tids bruk, særlig dersom dette kombineres med inntak av takrolimus tabletter. </w:t>
      </w:r>
    </w:p>
    <w:p w14:paraId="757792C8" w14:textId="77777777" w:rsidR="00CB27C2" w:rsidRPr="00234398"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 xml:space="preserve">Lokale steroider og takrolimus kan kombineres. </w:t>
      </w:r>
    </w:p>
    <w:p w14:paraId="0746F8E6" w14:textId="17D490F3" w:rsidR="00CB27C2" w:rsidRPr="00234398"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Man skal ikk</w:t>
      </w:r>
      <w:r w:rsidR="00EE40E4">
        <w:rPr>
          <w:rFonts w:asciiTheme="minorHAnsi" w:hAnsiTheme="minorHAnsi" w:cstheme="minorHAnsi"/>
          <w:sz w:val="24"/>
          <w:szCs w:val="24"/>
        </w:rPr>
        <w:t>e drikke eller spise de første 30</w:t>
      </w:r>
      <w:r w:rsidRPr="00234398">
        <w:rPr>
          <w:rFonts w:asciiTheme="minorHAnsi" w:hAnsiTheme="minorHAnsi" w:cstheme="minorHAnsi"/>
          <w:sz w:val="24"/>
          <w:szCs w:val="24"/>
        </w:rPr>
        <w:t xml:space="preserve"> minuttene etter munnskyll. </w:t>
      </w:r>
    </w:p>
    <w:p w14:paraId="48C734F2" w14:textId="77777777" w:rsidR="00CB27C2" w:rsidRPr="00234398"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 xml:space="preserve">Subjektiv bedring beskrives ofte uten at de visuelle forandringene har blitt mye bedre. </w:t>
      </w:r>
    </w:p>
    <w:p w14:paraId="1D46F3E5" w14:textId="77777777" w:rsidR="00887835" w:rsidRPr="00234398" w:rsidRDefault="00887835" w:rsidP="00CB27C2">
      <w:pPr>
        <w:rPr>
          <w:rFonts w:asciiTheme="minorHAnsi" w:hAnsiTheme="minorHAnsi" w:cstheme="minorHAnsi"/>
          <w:sz w:val="24"/>
          <w:szCs w:val="24"/>
        </w:rPr>
      </w:pPr>
    </w:p>
    <w:p w14:paraId="460752B6" w14:textId="77777777" w:rsidR="00887835" w:rsidRPr="00234398" w:rsidRDefault="00887835" w:rsidP="00CB27C2">
      <w:pPr>
        <w:rPr>
          <w:rFonts w:asciiTheme="minorHAnsi" w:hAnsiTheme="minorHAnsi" w:cstheme="minorHAnsi"/>
          <w:sz w:val="24"/>
          <w:szCs w:val="24"/>
        </w:rPr>
      </w:pPr>
    </w:p>
    <w:p w14:paraId="21FCE4A3" w14:textId="77777777" w:rsidR="00887835" w:rsidRPr="00234398" w:rsidRDefault="00887835" w:rsidP="00CB27C2">
      <w:pPr>
        <w:rPr>
          <w:rFonts w:asciiTheme="minorHAnsi" w:hAnsiTheme="minorHAnsi" w:cstheme="minorHAnsi"/>
          <w:sz w:val="24"/>
          <w:szCs w:val="24"/>
        </w:rPr>
      </w:pPr>
    </w:p>
    <w:p w14:paraId="7DDC16DB" w14:textId="77777777" w:rsidR="00CB27C2" w:rsidRPr="00234398" w:rsidRDefault="00CB27C2" w:rsidP="00CB27C2">
      <w:pPr>
        <w:rPr>
          <w:rFonts w:asciiTheme="minorHAnsi" w:hAnsiTheme="minorHAnsi" w:cstheme="minorHAnsi"/>
          <w:sz w:val="24"/>
          <w:szCs w:val="24"/>
        </w:rPr>
      </w:pPr>
    </w:p>
    <w:p w14:paraId="0C17737E" w14:textId="77777777" w:rsidR="00BB1DE2" w:rsidRDefault="00BB1DE2" w:rsidP="00CB27C2">
      <w:pPr>
        <w:rPr>
          <w:rFonts w:asciiTheme="minorHAnsi" w:hAnsiTheme="minorHAnsi" w:cstheme="minorHAnsi"/>
          <w:b/>
          <w:sz w:val="24"/>
          <w:szCs w:val="24"/>
          <w:u w:val="single"/>
        </w:rPr>
      </w:pPr>
    </w:p>
    <w:p w14:paraId="7F65C0FF" w14:textId="05AAFF79" w:rsidR="00CB27C2" w:rsidRPr="00234398" w:rsidRDefault="00CB27C2" w:rsidP="00CB27C2">
      <w:pPr>
        <w:rPr>
          <w:rFonts w:asciiTheme="minorHAnsi" w:hAnsiTheme="minorHAnsi" w:cstheme="minorHAnsi"/>
          <w:b/>
          <w:sz w:val="24"/>
          <w:szCs w:val="24"/>
          <w:u w:val="single"/>
        </w:rPr>
      </w:pPr>
      <w:r w:rsidRPr="00234398">
        <w:rPr>
          <w:rFonts w:asciiTheme="minorHAnsi" w:hAnsiTheme="minorHAnsi" w:cstheme="minorHAnsi"/>
          <w:b/>
          <w:sz w:val="24"/>
          <w:szCs w:val="24"/>
          <w:u w:val="single"/>
        </w:rPr>
        <w:t xml:space="preserve">Liste over de mest aktuelle preparatene til lokal bruk: </w:t>
      </w:r>
    </w:p>
    <w:p w14:paraId="7DA9F723" w14:textId="77777777" w:rsidR="00CB27C2" w:rsidRPr="00234398" w:rsidRDefault="00CB27C2" w:rsidP="00CB27C2">
      <w:pPr>
        <w:rPr>
          <w:rFonts w:asciiTheme="minorHAnsi" w:hAnsiTheme="minorHAnsi" w:cstheme="minorHAnsi"/>
          <w:b/>
          <w:sz w:val="24"/>
          <w:szCs w:val="24"/>
          <w:u w:val="single"/>
        </w:rPr>
      </w:pPr>
    </w:p>
    <w:p w14:paraId="7C7AE755" w14:textId="68D754E2" w:rsidR="00CB27C2" w:rsidRPr="0074663F" w:rsidRDefault="00CB27C2" w:rsidP="0074663F">
      <w:pPr>
        <w:pStyle w:val="Listeavsnitt"/>
        <w:numPr>
          <w:ilvl w:val="0"/>
          <w:numId w:val="33"/>
        </w:numPr>
        <w:rPr>
          <w:rFonts w:asciiTheme="minorHAnsi" w:hAnsiTheme="minorHAnsi" w:cstheme="minorHAnsi"/>
          <w:b/>
          <w:sz w:val="24"/>
          <w:szCs w:val="24"/>
          <w:u w:val="single"/>
        </w:rPr>
      </w:pPr>
      <w:r w:rsidRPr="0074663F">
        <w:rPr>
          <w:rFonts w:asciiTheme="minorHAnsi" w:hAnsiTheme="minorHAnsi" w:cstheme="minorHAnsi"/>
          <w:b/>
          <w:sz w:val="24"/>
          <w:szCs w:val="24"/>
          <w:u w:val="single"/>
        </w:rPr>
        <w:t>Steroider:</w:t>
      </w:r>
    </w:p>
    <w:p w14:paraId="261EF06F" w14:textId="58DE04A0" w:rsidR="00BB1DE2" w:rsidRPr="00EE40E4" w:rsidRDefault="00AC156E" w:rsidP="00EE40E4">
      <w:pPr>
        <w:pStyle w:val="Punktliste"/>
        <w:numPr>
          <w:ilvl w:val="0"/>
          <w:numId w:val="0"/>
        </w:numPr>
        <w:rPr>
          <w:rFonts w:asciiTheme="minorHAnsi" w:hAnsiTheme="minorHAnsi" w:cstheme="minorHAnsi"/>
          <w:b/>
        </w:rPr>
      </w:pPr>
      <w:r w:rsidRPr="00234398">
        <w:rPr>
          <w:rFonts w:asciiTheme="minorHAnsi" w:hAnsiTheme="minorHAnsi" w:cstheme="minorHAnsi"/>
          <w:b/>
        </w:rPr>
        <w:t xml:space="preserve">Clobetasol glostrup munngel 0,025% </w:t>
      </w:r>
    </w:p>
    <w:p w14:paraId="25AC70A3" w14:textId="528A7E5F" w:rsidR="00AC156E" w:rsidRPr="00234398" w:rsidRDefault="005A2C04" w:rsidP="00BB1DE2">
      <w:pPr>
        <w:pStyle w:val="Punktliste"/>
        <w:numPr>
          <w:ilvl w:val="0"/>
          <w:numId w:val="0"/>
        </w:numPr>
        <w:ind w:left="284" w:hanging="284"/>
        <w:rPr>
          <w:rFonts w:asciiTheme="minorHAnsi" w:hAnsiTheme="minorHAnsi" w:cstheme="minorHAnsi"/>
        </w:rPr>
      </w:pPr>
      <w:r w:rsidRPr="00234398">
        <w:rPr>
          <w:rFonts w:asciiTheme="minorHAnsi" w:hAnsiTheme="minorHAnsi" w:cstheme="minorHAnsi"/>
        </w:rPr>
        <w:t xml:space="preserve">Plan for behandling med Clobetasol glostrup munngel </w:t>
      </w:r>
      <w:r w:rsidR="00AC156E" w:rsidRPr="00234398">
        <w:rPr>
          <w:rFonts w:asciiTheme="minorHAnsi" w:hAnsiTheme="minorHAnsi" w:cstheme="minorHAnsi"/>
        </w:rPr>
        <w:t>:</w:t>
      </w:r>
    </w:p>
    <w:p w14:paraId="6369D868" w14:textId="21EE7111" w:rsidR="00AC156E" w:rsidRPr="00234398" w:rsidRDefault="00AC156E" w:rsidP="00AC156E">
      <w:pPr>
        <w:pStyle w:val="Punktliste"/>
        <w:numPr>
          <w:ilvl w:val="0"/>
          <w:numId w:val="0"/>
        </w:numPr>
        <w:ind w:left="1080"/>
        <w:rPr>
          <w:rFonts w:asciiTheme="minorHAnsi" w:hAnsiTheme="minorHAnsi" w:cstheme="minorHAnsi"/>
        </w:rPr>
      </w:pPr>
      <w:r w:rsidRPr="00234398">
        <w:rPr>
          <w:rFonts w:asciiTheme="minorHAnsi" w:hAnsiTheme="minorHAnsi" w:cstheme="minorHAnsi"/>
        </w:rPr>
        <w:t>5 ml x 2 i 2 uker</w:t>
      </w:r>
    </w:p>
    <w:p w14:paraId="6E9FFAA6" w14:textId="7CE64F1D" w:rsidR="00AC156E" w:rsidRPr="00234398" w:rsidRDefault="00AC156E" w:rsidP="00AC156E">
      <w:pPr>
        <w:pStyle w:val="Punktliste"/>
        <w:numPr>
          <w:ilvl w:val="0"/>
          <w:numId w:val="0"/>
        </w:numPr>
        <w:ind w:left="1080"/>
        <w:rPr>
          <w:rFonts w:asciiTheme="minorHAnsi" w:hAnsiTheme="minorHAnsi" w:cstheme="minorHAnsi"/>
        </w:rPr>
      </w:pPr>
      <w:r w:rsidRPr="00234398">
        <w:rPr>
          <w:rFonts w:asciiTheme="minorHAnsi" w:hAnsiTheme="minorHAnsi" w:cstheme="minorHAnsi"/>
        </w:rPr>
        <w:t>5 ml x 1 i 2 uker</w:t>
      </w:r>
    </w:p>
    <w:p w14:paraId="0A5FAF97" w14:textId="4BA29F17" w:rsidR="00AC156E" w:rsidRPr="00234398" w:rsidRDefault="00AC156E" w:rsidP="00AC156E">
      <w:pPr>
        <w:pStyle w:val="Punktliste"/>
        <w:numPr>
          <w:ilvl w:val="0"/>
          <w:numId w:val="0"/>
        </w:numPr>
        <w:ind w:left="1080"/>
        <w:rPr>
          <w:rFonts w:asciiTheme="minorHAnsi" w:hAnsiTheme="minorHAnsi" w:cstheme="minorHAnsi"/>
        </w:rPr>
      </w:pPr>
      <w:r w:rsidRPr="00234398">
        <w:rPr>
          <w:rFonts w:asciiTheme="minorHAnsi" w:hAnsiTheme="minorHAnsi" w:cstheme="minorHAnsi"/>
        </w:rPr>
        <w:t xml:space="preserve">5 ml x 1 annenhver dag i 2 uker </w:t>
      </w:r>
    </w:p>
    <w:p w14:paraId="13DFDBF2" w14:textId="7603AFB0" w:rsidR="00AC156E" w:rsidRPr="00234398" w:rsidRDefault="005A2C04" w:rsidP="00AC156E">
      <w:pPr>
        <w:pStyle w:val="Punktliste"/>
        <w:numPr>
          <w:ilvl w:val="1"/>
          <w:numId w:val="32"/>
        </w:numPr>
        <w:rPr>
          <w:rFonts w:asciiTheme="minorHAnsi" w:hAnsiTheme="minorHAnsi" w:cstheme="minorHAnsi"/>
        </w:rPr>
      </w:pPr>
      <w:r w:rsidRPr="00234398">
        <w:rPr>
          <w:rFonts w:asciiTheme="minorHAnsi" w:hAnsiTheme="minorHAnsi" w:cstheme="minorHAnsi"/>
        </w:rPr>
        <w:t xml:space="preserve">Munngel skal skylles rundt i </w:t>
      </w:r>
      <w:r w:rsidR="00BB1DE2">
        <w:rPr>
          <w:rFonts w:asciiTheme="minorHAnsi" w:hAnsiTheme="minorHAnsi" w:cstheme="minorHAnsi"/>
        </w:rPr>
        <w:t xml:space="preserve">munnhulen noen få minutter, </w:t>
      </w:r>
      <w:r w:rsidRPr="00234398">
        <w:rPr>
          <w:rFonts w:asciiTheme="minorHAnsi" w:hAnsiTheme="minorHAnsi" w:cstheme="minorHAnsi"/>
        </w:rPr>
        <w:t>max 5 minuter</w:t>
      </w:r>
      <w:r w:rsidR="00BB1DE2">
        <w:rPr>
          <w:rFonts w:asciiTheme="minorHAnsi" w:hAnsiTheme="minorHAnsi" w:cstheme="minorHAnsi"/>
        </w:rPr>
        <w:t>,</w:t>
      </w:r>
      <w:r w:rsidRPr="00234398">
        <w:rPr>
          <w:rFonts w:asciiTheme="minorHAnsi" w:hAnsiTheme="minorHAnsi" w:cstheme="minorHAnsi"/>
        </w:rPr>
        <w:t xml:space="preserve"> før den spyttes</w:t>
      </w:r>
      <w:r w:rsidR="00AC156E" w:rsidRPr="00234398">
        <w:rPr>
          <w:rFonts w:asciiTheme="minorHAnsi" w:hAnsiTheme="minorHAnsi" w:cstheme="minorHAnsi"/>
        </w:rPr>
        <w:t xml:space="preserve"> ut. </w:t>
      </w:r>
    </w:p>
    <w:p w14:paraId="0E058D36" w14:textId="791DC239" w:rsidR="00AC156E" w:rsidRPr="00234398" w:rsidRDefault="00CC4E73" w:rsidP="00AC156E">
      <w:pPr>
        <w:pStyle w:val="Punktliste"/>
        <w:numPr>
          <w:ilvl w:val="1"/>
          <w:numId w:val="32"/>
        </w:numPr>
        <w:rPr>
          <w:rFonts w:asciiTheme="minorHAnsi" w:hAnsiTheme="minorHAnsi" w:cstheme="minorHAnsi"/>
        </w:rPr>
      </w:pPr>
      <w:r w:rsidRPr="00234398">
        <w:rPr>
          <w:rFonts w:asciiTheme="minorHAnsi" w:hAnsiTheme="minorHAnsi" w:cstheme="minorHAnsi"/>
        </w:rPr>
        <w:t>Behandling er  individuell og ofte må planen i  nedtrappingsskjemaet avvikes og tilpasses individuelt. Nedtrappning styres  av effekten av behandlingen og  det er ikke uvanlig at behandlingen pågår i flere måneder</w:t>
      </w:r>
      <w:r w:rsidR="00BB1DE2">
        <w:rPr>
          <w:rFonts w:asciiTheme="minorHAnsi" w:hAnsiTheme="minorHAnsi" w:cstheme="minorHAnsi"/>
        </w:rPr>
        <w:t>.</w:t>
      </w:r>
    </w:p>
    <w:p w14:paraId="5843E708" w14:textId="700A6DCB" w:rsidR="00AC156E" w:rsidRPr="00234398" w:rsidRDefault="005D6846" w:rsidP="00CB27C2">
      <w:pPr>
        <w:pStyle w:val="Punktliste"/>
        <w:numPr>
          <w:ilvl w:val="1"/>
          <w:numId w:val="32"/>
        </w:numPr>
        <w:rPr>
          <w:rFonts w:asciiTheme="minorHAnsi" w:hAnsiTheme="minorHAnsi" w:cstheme="minorHAnsi"/>
        </w:rPr>
      </w:pPr>
      <w:r w:rsidRPr="00234398">
        <w:rPr>
          <w:rFonts w:asciiTheme="minorHAnsi" w:hAnsiTheme="minorHAnsi" w:cstheme="minorHAnsi"/>
        </w:rPr>
        <w:t>Behandlingen kan forlenges for en evntuell raskere</w:t>
      </w:r>
      <w:r w:rsidR="00AC156E" w:rsidRPr="00234398">
        <w:rPr>
          <w:rFonts w:asciiTheme="minorHAnsi" w:hAnsiTheme="minorHAnsi" w:cstheme="minorHAnsi"/>
        </w:rPr>
        <w:t xml:space="preserve"> nedtrappni</w:t>
      </w:r>
      <w:r w:rsidR="007433EB" w:rsidRPr="00234398">
        <w:rPr>
          <w:rFonts w:asciiTheme="minorHAnsi" w:hAnsiTheme="minorHAnsi" w:cstheme="minorHAnsi"/>
        </w:rPr>
        <w:t>ng av systemisk immunsuppresson</w:t>
      </w:r>
      <w:r w:rsidR="00BB1DE2">
        <w:rPr>
          <w:rFonts w:asciiTheme="minorHAnsi" w:hAnsiTheme="minorHAnsi" w:cstheme="minorHAnsi"/>
        </w:rPr>
        <w:t>.</w:t>
      </w:r>
    </w:p>
    <w:p w14:paraId="27E336D0" w14:textId="77777777" w:rsidR="00BB1DE2" w:rsidRDefault="00BB1DE2" w:rsidP="00A029B1">
      <w:pPr>
        <w:pStyle w:val="Punktliste"/>
        <w:numPr>
          <w:ilvl w:val="0"/>
          <w:numId w:val="0"/>
        </w:numPr>
        <w:rPr>
          <w:rFonts w:asciiTheme="minorHAnsi" w:hAnsiTheme="minorHAnsi" w:cstheme="minorHAnsi"/>
        </w:rPr>
      </w:pPr>
    </w:p>
    <w:p w14:paraId="12099E32" w14:textId="37C309CD" w:rsidR="00CB27C2" w:rsidRDefault="007433EB" w:rsidP="00A029B1">
      <w:pPr>
        <w:pStyle w:val="Punktliste"/>
        <w:numPr>
          <w:ilvl w:val="0"/>
          <w:numId w:val="0"/>
        </w:numPr>
        <w:rPr>
          <w:rFonts w:asciiTheme="minorHAnsi" w:hAnsiTheme="minorHAnsi" w:cstheme="minorHAnsi"/>
          <w:u w:val="single"/>
          <w:lang w:val="nb-NO"/>
        </w:rPr>
      </w:pPr>
      <w:r w:rsidRPr="00BB1DE2">
        <w:rPr>
          <w:rFonts w:asciiTheme="minorHAnsi" w:hAnsiTheme="minorHAnsi" w:cstheme="minorHAnsi"/>
          <w:u w:val="single"/>
        </w:rPr>
        <w:t>Clobetasol glostrup munngel 0,025%</w:t>
      </w:r>
      <w:r w:rsidRPr="00BB1DE2">
        <w:rPr>
          <w:rFonts w:asciiTheme="minorHAnsi" w:hAnsiTheme="minorHAnsi" w:cstheme="minorHAnsi"/>
          <w:b/>
          <w:u w:val="single"/>
        </w:rPr>
        <w:t xml:space="preserve"> </w:t>
      </w:r>
      <w:r w:rsidR="00BB1DE2">
        <w:rPr>
          <w:rFonts w:asciiTheme="minorHAnsi" w:hAnsiTheme="minorHAnsi" w:cstheme="minorHAnsi"/>
          <w:u w:val="single"/>
        </w:rPr>
        <w:t>100g boks. S</w:t>
      </w:r>
      <w:r w:rsidR="00A029B1" w:rsidRPr="00BB1DE2">
        <w:rPr>
          <w:rFonts w:asciiTheme="minorHAnsi" w:hAnsiTheme="minorHAnsi" w:cstheme="minorHAnsi"/>
          <w:u w:val="single"/>
          <w:lang w:val="nb-NO"/>
        </w:rPr>
        <w:t>krives ut på godkjenningsfritak og søke refusjon på §3.</w:t>
      </w:r>
    </w:p>
    <w:p w14:paraId="6301636E" w14:textId="3EB5367C" w:rsidR="00EE40E4" w:rsidRDefault="00EE40E4" w:rsidP="00A029B1">
      <w:pPr>
        <w:pStyle w:val="Punktliste"/>
        <w:numPr>
          <w:ilvl w:val="0"/>
          <w:numId w:val="0"/>
        </w:numPr>
        <w:rPr>
          <w:rFonts w:asciiTheme="minorHAnsi" w:hAnsiTheme="minorHAnsi" w:cstheme="minorHAnsi"/>
          <w:u w:val="single"/>
          <w:lang w:val="nb-NO"/>
        </w:rPr>
      </w:pPr>
    </w:p>
    <w:p w14:paraId="48F7FB0E" w14:textId="36C3466A" w:rsidR="00EE40E4" w:rsidRDefault="00EE40E4" w:rsidP="00A029B1">
      <w:pPr>
        <w:pStyle w:val="Punktliste"/>
        <w:numPr>
          <w:ilvl w:val="0"/>
          <w:numId w:val="0"/>
        </w:numPr>
        <w:rPr>
          <w:rFonts w:asciiTheme="minorHAnsi" w:hAnsiTheme="minorHAnsi" w:cstheme="minorHAnsi"/>
          <w:b/>
          <w:lang w:val="nb-NO"/>
        </w:rPr>
      </w:pPr>
      <w:r w:rsidRPr="00EE40E4">
        <w:rPr>
          <w:rFonts w:asciiTheme="minorHAnsi" w:hAnsiTheme="minorHAnsi" w:cstheme="minorHAnsi"/>
          <w:b/>
          <w:lang w:val="nb-NO"/>
        </w:rPr>
        <w:t>Jorveza (budesonid) smeltetbl 1mg</w:t>
      </w:r>
    </w:p>
    <w:p w14:paraId="7C7131D6" w14:textId="36781F84" w:rsidR="00EE40E4" w:rsidRDefault="00EE40E4" w:rsidP="00A029B1">
      <w:pPr>
        <w:pStyle w:val="Punktliste"/>
        <w:numPr>
          <w:ilvl w:val="0"/>
          <w:numId w:val="0"/>
        </w:numPr>
        <w:rPr>
          <w:rFonts w:asciiTheme="minorHAnsi" w:hAnsiTheme="minorHAnsi" w:cstheme="minorHAnsi"/>
          <w:lang w:val="nb-NO"/>
        </w:rPr>
      </w:pPr>
      <w:r w:rsidRPr="00EE40E4">
        <w:rPr>
          <w:rFonts w:asciiTheme="minorHAnsi" w:hAnsiTheme="minorHAnsi" w:cstheme="minorHAnsi"/>
          <w:lang w:val="nb-NO"/>
        </w:rPr>
        <w:t>En tbl morgen og kveld initialt. Ved effekt sjeldnere/individuell dosering.</w:t>
      </w:r>
    </w:p>
    <w:p w14:paraId="78E1E881" w14:textId="1D9179A6" w:rsidR="00EE40E4" w:rsidRPr="00EE40E4" w:rsidRDefault="00EE40E4" w:rsidP="00A029B1">
      <w:pPr>
        <w:pStyle w:val="Punktliste"/>
        <w:numPr>
          <w:ilvl w:val="0"/>
          <w:numId w:val="0"/>
        </w:numPr>
        <w:rPr>
          <w:rFonts w:asciiTheme="minorHAnsi" w:hAnsiTheme="minorHAnsi" w:cstheme="minorHAnsi"/>
          <w:b/>
          <w:i/>
        </w:rPr>
      </w:pPr>
      <w:r>
        <w:rPr>
          <w:rFonts w:asciiTheme="minorHAnsi" w:hAnsiTheme="minorHAnsi" w:cstheme="minorHAnsi"/>
          <w:lang w:val="nb-NO"/>
        </w:rPr>
        <w:t>Se Felleskatalogen.</w:t>
      </w:r>
    </w:p>
    <w:p w14:paraId="16069073" w14:textId="77777777" w:rsidR="00CB27C2" w:rsidRPr="00234398" w:rsidRDefault="00CB27C2" w:rsidP="00CB27C2">
      <w:pPr>
        <w:rPr>
          <w:rFonts w:asciiTheme="minorHAnsi" w:hAnsiTheme="minorHAnsi" w:cstheme="minorHAnsi"/>
          <w:b/>
          <w:sz w:val="24"/>
          <w:szCs w:val="24"/>
        </w:rPr>
      </w:pPr>
      <w:r w:rsidRPr="00234398">
        <w:rPr>
          <w:rFonts w:asciiTheme="minorHAnsi" w:hAnsiTheme="minorHAnsi" w:cstheme="minorHAnsi"/>
          <w:b/>
          <w:sz w:val="24"/>
          <w:szCs w:val="24"/>
        </w:rPr>
        <w:t>Triamcinolon munnsalve 0,1 %.</w:t>
      </w:r>
    </w:p>
    <w:p w14:paraId="14E04CAB" w14:textId="42E6702D" w:rsidR="00CB27C2" w:rsidRPr="00234398" w:rsidRDefault="00CB27C2" w:rsidP="00CB27C2">
      <w:pPr>
        <w:rPr>
          <w:rFonts w:asciiTheme="minorHAnsi" w:hAnsiTheme="minorHAnsi" w:cstheme="minorHAnsi"/>
          <w:sz w:val="24"/>
          <w:szCs w:val="24"/>
        </w:rPr>
      </w:pPr>
      <w:r w:rsidRPr="00234398">
        <w:rPr>
          <w:rFonts w:asciiTheme="minorHAnsi" w:hAnsiTheme="minorHAnsi" w:cstheme="minorHAnsi"/>
          <w:color w:val="000000"/>
          <w:sz w:val="24"/>
          <w:szCs w:val="24"/>
        </w:rPr>
        <w:t>Kan appliseres over hele munnhulen eller punktvis på affisert område (det siste er enklere i og med salven er viskøs/ seig). Svakere enn klobetasol men pga. formulering adhererer den muligens bedre til lesjoner.</w:t>
      </w:r>
    </w:p>
    <w:p w14:paraId="5A543E56" w14:textId="0298C8F7" w:rsidR="00CB27C2" w:rsidRDefault="00BB1DE2" w:rsidP="00CB27C2">
      <w:pPr>
        <w:rPr>
          <w:rFonts w:asciiTheme="minorHAnsi" w:hAnsiTheme="minorHAnsi" w:cstheme="minorHAnsi"/>
          <w:sz w:val="24"/>
          <w:szCs w:val="24"/>
          <w:u w:val="single"/>
        </w:rPr>
      </w:pPr>
      <w:r>
        <w:rPr>
          <w:rFonts w:asciiTheme="minorHAnsi" w:hAnsiTheme="minorHAnsi" w:cstheme="minorHAnsi"/>
          <w:sz w:val="24"/>
          <w:szCs w:val="24"/>
        </w:rPr>
        <w:t>NAVN</w:t>
      </w:r>
      <w:r w:rsidR="00CB27C2" w:rsidRPr="00234398">
        <w:rPr>
          <w:rFonts w:asciiTheme="minorHAnsi" w:hAnsiTheme="minorHAnsi" w:cstheme="minorHAnsi"/>
          <w:sz w:val="24"/>
          <w:szCs w:val="24"/>
        </w:rPr>
        <w:t xml:space="preserve">: </w:t>
      </w:r>
      <w:r>
        <w:rPr>
          <w:rFonts w:asciiTheme="minorHAnsi" w:hAnsiTheme="minorHAnsi" w:cstheme="minorHAnsi"/>
          <w:sz w:val="24"/>
          <w:szCs w:val="24"/>
          <w:u w:val="single"/>
        </w:rPr>
        <w:t>Volon A (0,1 %) 10 g.</w:t>
      </w:r>
      <w:r w:rsidR="00CB27C2" w:rsidRPr="00BB1DE2">
        <w:rPr>
          <w:rFonts w:asciiTheme="minorHAnsi" w:hAnsiTheme="minorHAnsi" w:cstheme="minorHAnsi"/>
          <w:sz w:val="24"/>
          <w:szCs w:val="24"/>
          <w:u w:val="single"/>
        </w:rPr>
        <w:t xml:space="preserve"> </w:t>
      </w:r>
      <w:r w:rsidRPr="00BB1DE2">
        <w:rPr>
          <w:rFonts w:asciiTheme="minorHAnsi" w:hAnsiTheme="minorHAnsi" w:cstheme="minorHAnsi"/>
          <w:sz w:val="24"/>
          <w:szCs w:val="24"/>
          <w:u w:val="single"/>
        </w:rPr>
        <w:t>Skrives ut på godkjenningsfritak og søke refusjon §3B</w:t>
      </w:r>
    </w:p>
    <w:p w14:paraId="3A624C66" w14:textId="77777777" w:rsidR="00BB1DE2" w:rsidRPr="00234398" w:rsidRDefault="00BB1DE2" w:rsidP="00CB27C2">
      <w:pPr>
        <w:rPr>
          <w:rFonts w:asciiTheme="minorHAnsi" w:hAnsiTheme="minorHAnsi" w:cstheme="minorHAnsi"/>
          <w:sz w:val="24"/>
          <w:szCs w:val="24"/>
        </w:rPr>
      </w:pPr>
    </w:p>
    <w:p w14:paraId="0BA1E344" w14:textId="77777777" w:rsidR="00CB27C2" w:rsidRPr="0074663F" w:rsidRDefault="00CB27C2" w:rsidP="00CB27C2">
      <w:pPr>
        <w:rPr>
          <w:rFonts w:asciiTheme="minorHAnsi" w:hAnsiTheme="minorHAnsi" w:cstheme="minorHAnsi"/>
          <w:b/>
          <w:sz w:val="24"/>
          <w:szCs w:val="24"/>
        </w:rPr>
      </w:pPr>
      <w:r w:rsidRPr="0074663F">
        <w:rPr>
          <w:rFonts w:asciiTheme="minorHAnsi" w:hAnsiTheme="minorHAnsi" w:cstheme="minorHAnsi"/>
          <w:b/>
          <w:sz w:val="24"/>
          <w:szCs w:val="24"/>
        </w:rPr>
        <w:t>Smertelindring før og under behandling med topikale steroider:</w:t>
      </w:r>
    </w:p>
    <w:p w14:paraId="5C985808" w14:textId="77777777" w:rsidR="00CB27C2" w:rsidRPr="00234398" w:rsidRDefault="00CB27C2" w:rsidP="00CB27C2">
      <w:pPr>
        <w:rPr>
          <w:rFonts w:asciiTheme="minorHAnsi" w:hAnsiTheme="minorHAnsi" w:cstheme="minorHAnsi"/>
          <w:b/>
          <w:sz w:val="24"/>
          <w:szCs w:val="24"/>
          <w:u w:val="single"/>
        </w:rPr>
      </w:pPr>
    </w:p>
    <w:p w14:paraId="5B760AD0" w14:textId="77777777" w:rsidR="00CB27C2" w:rsidRPr="00234398" w:rsidRDefault="00CB27C2" w:rsidP="00CB27C2">
      <w:pPr>
        <w:rPr>
          <w:rFonts w:asciiTheme="minorHAnsi" w:hAnsiTheme="minorHAnsi" w:cstheme="minorHAnsi"/>
          <w:b/>
          <w:sz w:val="24"/>
          <w:szCs w:val="24"/>
        </w:rPr>
      </w:pPr>
      <w:r w:rsidRPr="00234398">
        <w:rPr>
          <w:rFonts w:asciiTheme="minorHAnsi" w:hAnsiTheme="minorHAnsi" w:cstheme="minorHAnsi"/>
          <w:b/>
          <w:sz w:val="24"/>
          <w:szCs w:val="24"/>
        </w:rPr>
        <w:t>Lidokain oral topikal oppløsning 2 %.</w:t>
      </w:r>
    </w:p>
    <w:p w14:paraId="5A89BA95" w14:textId="77777777" w:rsidR="00CB27C2" w:rsidRPr="00234398"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Lokalt anestetikum. Viskøs konsistens. Påføres affiserte områder før ev. påføring av triamcinolon munnsalve/ klobetasol oppløsning som inneholder alkohol og kan føre til smerter.</w:t>
      </w:r>
    </w:p>
    <w:p w14:paraId="70C7CAFB" w14:textId="77777777" w:rsidR="00CB27C2" w:rsidRPr="00234398" w:rsidRDefault="00CB27C2" w:rsidP="00CB27C2">
      <w:pPr>
        <w:rPr>
          <w:rFonts w:asciiTheme="minorHAnsi" w:hAnsiTheme="minorHAnsi" w:cstheme="minorHAnsi"/>
          <w:sz w:val="24"/>
          <w:szCs w:val="24"/>
        </w:rPr>
      </w:pPr>
      <w:r w:rsidRPr="00234398">
        <w:rPr>
          <w:rFonts w:asciiTheme="minorHAnsi" w:hAnsiTheme="minorHAnsi" w:cstheme="minorHAnsi"/>
          <w:sz w:val="24"/>
          <w:szCs w:val="24"/>
        </w:rPr>
        <w:t>Uregistrert legemiddel, det må derfor søkes om godkjenningsfritak og ev. refusjon §3B. Vi har den liggende på medisinrom 2.</w:t>
      </w:r>
    </w:p>
    <w:p w14:paraId="3BC2EBC1" w14:textId="77777777" w:rsidR="00CB27C2" w:rsidRDefault="00CB27C2" w:rsidP="00CB27C2">
      <w:pPr>
        <w:rPr>
          <w:sz w:val="24"/>
          <w:szCs w:val="24"/>
        </w:rPr>
      </w:pPr>
      <w:r w:rsidRPr="00234398">
        <w:rPr>
          <w:rFonts w:asciiTheme="minorHAnsi" w:hAnsiTheme="minorHAnsi" w:cstheme="minorHAnsi"/>
          <w:sz w:val="24"/>
          <w:szCs w:val="24"/>
        </w:rPr>
        <w:t>Navn: Lidocaine hydrochloride</w:t>
      </w:r>
      <w:r>
        <w:rPr>
          <w:sz w:val="24"/>
          <w:szCs w:val="24"/>
        </w:rPr>
        <w:t xml:space="preserve"> oral topical solution, USP (Viscous) (2 %) 100ml, produsent: Akorn.</w:t>
      </w:r>
    </w:p>
    <w:p w14:paraId="3FDB2C98" w14:textId="77777777" w:rsidR="00CB27C2" w:rsidRDefault="00CB27C2" w:rsidP="00CB27C2">
      <w:pPr>
        <w:rPr>
          <w:sz w:val="24"/>
          <w:szCs w:val="24"/>
        </w:rPr>
      </w:pPr>
    </w:p>
    <w:p w14:paraId="564AA91F" w14:textId="733B570C" w:rsidR="00CB27C2" w:rsidRPr="0074663F" w:rsidRDefault="00CB27C2" w:rsidP="0074663F">
      <w:pPr>
        <w:pStyle w:val="Listeavsnitt"/>
        <w:numPr>
          <w:ilvl w:val="0"/>
          <w:numId w:val="33"/>
        </w:numPr>
        <w:rPr>
          <w:b/>
          <w:sz w:val="28"/>
          <w:szCs w:val="28"/>
          <w:u w:val="single"/>
        </w:rPr>
      </w:pPr>
      <w:r w:rsidRPr="0074663F">
        <w:rPr>
          <w:b/>
          <w:sz w:val="28"/>
          <w:szCs w:val="28"/>
          <w:u w:val="single"/>
        </w:rPr>
        <w:lastRenderedPageBreak/>
        <w:t>Takrolimus:</w:t>
      </w:r>
    </w:p>
    <w:p w14:paraId="0946E54E" w14:textId="77777777" w:rsidR="00CB27C2" w:rsidRPr="0074663F" w:rsidRDefault="00CB27C2" w:rsidP="00CB27C2">
      <w:pPr>
        <w:rPr>
          <w:b/>
          <w:i/>
          <w:sz w:val="28"/>
          <w:szCs w:val="28"/>
          <w:u w:val="single"/>
        </w:rPr>
      </w:pPr>
    </w:p>
    <w:p w14:paraId="7FD7890B" w14:textId="77777777" w:rsidR="00CB27C2" w:rsidRPr="00475BC3" w:rsidRDefault="00CB27C2" w:rsidP="00CB27C2">
      <w:pPr>
        <w:rPr>
          <w:b/>
          <w:sz w:val="24"/>
          <w:szCs w:val="24"/>
        </w:rPr>
      </w:pPr>
      <w:r w:rsidRPr="00475BC3">
        <w:rPr>
          <w:b/>
          <w:sz w:val="24"/>
          <w:szCs w:val="24"/>
        </w:rPr>
        <w:t>Protopic salve 0,1%</w:t>
      </w:r>
    </w:p>
    <w:p w14:paraId="0AB1758B" w14:textId="77777777" w:rsidR="00CB27C2" w:rsidRDefault="00CB27C2" w:rsidP="00CB27C2">
      <w:pPr>
        <w:rPr>
          <w:sz w:val="24"/>
          <w:szCs w:val="24"/>
        </w:rPr>
      </w:pPr>
      <w:r>
        <w:rPr>
          <w:sz w:val="24"/>
          <w:szCs w:val="24"/>
        </w:rPr>
        <w:t>Vanskelig å applisere i munnhule. Men noen pasienter syns dette er greit å bruke.</w:t>
      </w:r>
    </w:p>
    <w:p w14:paraId="54F7036D" w14:textId="77777777" w:rsidR="00CB27C2" w:rsidRDefault="00CB27C2" w:rsidP="00CB27C2">
      <w:pPr>
        <w:rPr>
          <w:sz w:val="24"/>
          <w:szCs w:val="24"/>
        </w:rPr>
      </w:pPr>
      <w:r>
        <w:rPr>
          <w:sz w:val="24"/>
          <w:szCs w:val="24"/>
        </w:rPr>
        <w:t>Fås per i dag ikke refundert.</w:t>
      </w:r>
    </w:p>
    <w:p w14:paraId="234B53B3" w14:textId="77777777" w:rsidR="00CB27C2" w:rsidRDefault="00CB27C2" w:rsidP="00CB27C2">
      <w:pPr>
        <w:rPr>
          <w:sz w:val="24"/>
          <w:szCs w:val="24"/>
        </w:rPr>
      </w:pPr>
      <w:r>
        <w:rPr>
          <w:sz w:val="24"/>
          <w:szCs w:val="24"/>
        </w:rPr>
        <w:t xml:space="preserve">Man har per i dag ikke oppløsninger av takrolimus tilgjengelig som egner seg som munnskyll. </w:t>
      </w:r>
    </w:p>
    <w:p w14:paraId="1BD6D179" w14:textId="77777777" w:rsidR="00CB27C2" w:rsidRDefault="00CB27C2" w:rsidP="00CB27C2">
      <w:pPr>
        <w:rPr>
          <w:b/>
          <w:sz w:val="24"/>
          <w:szCs w:val="24"/>
        </w:rPr>
      </w:pPr>
    </w:p>
    <w:p w14:paraId="43F9FE63" w14:textId="77777777" w:rsidR="0074663F" w:rsidRDefault="0074663F" w:rsidP="00CB27C2">
      <w:pPr>
        <w:rPr>
          <w:b/>
          <w:sz w:val="24"/>
          <w:szCs w:val="24"/>
        </w:rPr>
      </w:pPr>
    </w:p>
    <w:p w14:paraId="1B2EC176" w14:textId="40958AC8" w:rsidR="00CB27C2" w:rsidRPr="0074663F" w:rsidRDefault="00CB27C2" w:rsidP="00CB27C2">
      <w:pPr>
        <w:rPr>
          <w:b/>
          <w:sz w:val="28"/>
          <w:szCs w:val="28"/>
        </w:rPr>
      </w:pPr>
      <w:r w:rsidRPr="0074663F">
        <w:rPr>
          <w:b/>
          <w:sz w:val="28"/>
          <w:szCs w:val="28"/>
        </w:rPr>
        <w:t>Løsninger ved xerostomi:</w:t>
      </w:r>
    </w:p>
    <w:p w14:paraId="6BC08FAD" w14:textId="56FA0AAF" w:rsidR="00CB27C2" w:rsidRDefault="00CB27C2" w:rsidP="00CB27C2">
      <w:pPr>
        <w:rPr>
          <w:sz w:val="24"/>
          <w:szCs w:val="24"/>
        </w:rPr>
      </w:pPr>
      <w:r>
        <w:rPr>
          <w:sz w:val="24"/>
          <w:szCs w:val="24"/>
        </w:rPr>
        <w:t>Flux Dry Mouth munnskyll.</w:t>
      </w:r>
    </w:p>
    <w:p w14:paraId="5554C872" w14:textId="1EE84786" w:rsidR="00CB27C2" w:rsidRDefault="0074663F" w:rsidP="00CB27C2">
      <w:pPr>
        <w:rPr>
          <w:sz w:val="24"/>
          <w:szCs w:val="24"/>
        </w:rPr>
      </w:pPr>
      <w:r>
        <w:rPr>
          <w:sz w:val="24"/>
          <w:szCs w:val="24"/>
        </w:rPr>
        <w:t>Dry Mouth tabletter.</w:t>
      </w:r>
    </w:p>
    <w:p w14:paraId="309AAD22" w14:textId="77777777" w:rsidR="00CB27C2" w:rsidRDefault="00CB27C2" w:rsidP="00CB27C2">
      <w:pPr>
        <w:rPr>
          <w:b/>
          <w:sz w:val="24"/>
          <w:szCs w:val="24"/>
        </w:rPr>
      </w:pPr>
    </w:p>
    <w:p w14:paraId="07B013FD" w14:textId="68C48560" w:rsidR="00887835" w:rsidRDefault="00887835" w:rsidP="00CB27C2">
      <w:pPr>
        <w:rPr>
          <w:b/>
          <w:sz w:val="24"/>
          <w:szCs w:val="24"/>
        </w:rPr>
      </w:pPr>
    </w:p>
    <w:p w14:paraId="08FB7315" w14:textId="77777777" w:rsidR="00CB27C2" w:rsidRPr="0074663F" w:rsidRDefault="00CB27C2" w:rsidP="00CB27C2">
      <w:pPr>
        <w:rPr>
          <w:b/>
          <w:sz w:val="28"/>
          <w:szCs w:val="28"/>
        </w:rPr>
      </w:pPr>
      <w:r w:rsidRPr="0074663F">
        <w:rPr>
          <w:b/>
          <w:sz w:val="28"/>
          <w:szCs w:val="28"/>
        </w:rPr>
        <w:t>Kompliserende infeksjon</w:t>
      </w:r>
    </w:p>
    <w:p w14:paraId="317A9983" w14:textId="77777777" w:rsidR="00CB27C2" w:rsidRDefault="00CB27C2" w:rsidP="00CB27C2">
      <w:pPr>
        <w:rPr>
          <w:sz w:val="24"/>
          <w:szCs w:val="24"/>
        </w:rPr>
      </w:pPr>
      <w:r>
        <w:rPr>
          <w:sz w:val="24"/>
          <w:szCs w:val="24"/>
        </w:rPr>
        <w:t>Lokal steroidbehandling, xerostomi og systemiske immunhemmende medikamenter øker risiko for infeksjon. Candida stomatitt gir karakteristiske hvitlige lesjoner/pseudomembraner og trenger ofte ikke bekreftes med dyrkning. Men man bør merke seg at disse pasientene også kan få Candida infeksjon med hissige munnhuleforandringer med erytem og sår. Dette kan se ut som GVHD forverring, men dyrkning/biopsi viser sopp og de responderer på flukonazol.</w:t>
      </w:r>
    </w:p>
    <w:p w14:paraId="476008DC" w14:textId="77777777" w:rsidR="00CB27C2" w:rsidRDefault="00CB27C2" w:rsidP="00CB27C2">
      <w:pPr>
        <w:rPr>
          <w:sz w:val="24"/>
          <w:szCs w:val="24"/>
        </w:rPr>
      </w:pPr>
      <w:r>
        <w:rPr>
          <w:sz w:val="24"/>
          <w:szCs w:val="24"/>
        </w:rPr>
        <w:t xml:space="preserve">Etter oppstart steroid munnskyll kommer ofte Candida i løpet av første uken. </w:t>
      </w:r>
      <w:r>
        <w:rPr>
          <w:sz w:val="24"/>
          <w:szCs w:val="24"/>
        </w:rPr>
        <w:br/>
        <w:t xml:space="preserve">Behandling er flukonazol po 100-200 mg x 1 i en uke. Mange har nytte av sekundær profylakse med flukonazol po 200 mg en gang i uken. </w:t>
      </w:r>
    </w:p>
    <w:p w14:paraId="4A40CAB2" w14:textId="77777777" w:rsidR="00CB27C2" w:rsidRDefault="00CB27C2" w:rsidP="00CB27C2">
      <w:pPr>
        <w:rPr>
          <w:sz w:val="24"/>
          <w:szCs w:val="24"/>
        </w:rPr>
      </w:pPr>
      <w:r>
        <w:rPr>
          <w:sz w:val="24"/>
          <w:szCs w:val="24"/>
        </w:rPr>
        <w:t>Herpes simplex infeksjon mistenkes ved nye smertefulle sår og bekreftes med PCR analyse. Mucocele forandringer kan ses som ledd i GVHD og kan minne om Herpes infeksjon, men gir ingen plager.</w:t>
      </w:r>
    </w:p>
    <w:p w14:paraId="32ACE249" w14:textId="77777777" w:rsidR="00795490" w:rsidRDefault="00795490" w:rsidP="00CB27C2">
      <w:pPr>
        <w:rPr>
          <w:sz w:val="24"/>
          <w:szCs w:val="24"/>
        </w:rPr>
      </w:pPr>
    </w:p>
    <w:p w14:paraId="2D71D945" w14:textId="77777777" w:rsidR="00CB27C2" w:rsidRPr="0074663F" w:rsidRDefault="00CB27C2" w:rsidP="00CB27C2">
      <w:pPr>
        <w:rPr>
          <w:b/>
          <w:sz w:val="28"/>
          <w:szCs w:val="28"/>
        </w:rPr>
      </w:pPr>
      <w:r w:rsidRPr="0074663F">
        <w:rPr>
          <w:b/>
          <w:sz w:val="28"/>
          <w:szCs w:val="28"/>
        </w:rPr>
        <w:t>Sekundær kreft</w:t>
      </w:r>
    </w:p>
    <w:p w14:paraId="03A9023D" w14:textId="77777777" w:rsidR="00CB27C2" w:rsidRDefault="00CB27C2" w:rsidP="00CB27C2">
      <w:pPr>
        <w:rPr>
          <w:sz w:val="24"/>
          <w:szCs w:val="24"/>
        </w:rPr>
      </w:pPr>
      <w:r w:rsidRPr="00DB1DF3">
        <w:rPr>
          <w:sz w:val="24"/>
          <w:szCs w:val="24"/>
        </w:rPr>
        <w:t>Pasientgruppen har økt risiko for plateepitel</w:t>
      </w:r>
      <w:r>
        <w:rPr>
          <w:sz w:val="24"/>
          <w:szCs w:val="24"/>
        </w:rPr>
        <w:t>k</w:t>
      </w:r>
      <w:r w:rsidRPr="00DB1DF3">
        <w:rPr>
          <w:sz w:val="24"/>
          <w:szCs w:val="24"/>
        </w:rPr>
        <w:t xml:space="preserve">arsinom i munnhule. </w:t>
      </w:r>
      <w:r>
        <w:rPr>
          <w:sz w:val="24"/>
          <w:szCs w:val="24"/>
        </w:rPr>
        <w:t xml:space="preserve">Det gjelder særlig pasienter med Fanconi anemi og telomer syndrom. Funnene kan være vanskelig å skille fra GVHD og ved mistanke/atypiske lesjoner bør pasienten henvises til biopsi. Røykekutt og redusert alkoholinntak gir mindre risiko for kreftutvikling. </w:t>
      </w:r>
    </w:p>
    <w:p w14:paraId="05C78D4B" w14:textId="77777777" w:rsidR="00795490" w:rsidRPr="00DB1DF3" w:rsidRDefault="00795490" w:rsidP="00CB27C2">
      <w:pPr>
        <w:rPr>
          <w:sz w:val="24"/>
          <w:szCs w:val="24"/>
        </w:rPr>
      </w:pPr>
    </w:p>
    <w:p w14:paraId="53843363" w14:textId="77777777" w:rsidR="00CB27C2" w:rsidRPr="0074663F" w:rsidRDefault="00CB27C2" w:rsidP="00CB27C2">
      <w:pPr>
        <w:rPr>
          <w:b/>
          <w:sz w:val="28"/>
          <w:szCs w:val="28"/>
        </w:rPr>
      </w:pPr>
      <w:r w:rsidRPr="0074663F">
        <w:rPr>
          <w:b/>
          <w:sz w:val="28"/>
          <w:szCs w:val="28"/>
        </w:rPr>
        <w:t>Tannhelse</w:t>
      </w:r>
    </w:p>
    <w:p w14:paraId="11B43F33" w14:textId="77777777" w:rsidR="00CB27C2" w:rsidRDefault="00CB27C2" w:rsidP="00CB27C2">
      <w:pPr>
        <w:rPr>
          <w:sz w:val="24"/>
          <w:szCs w:val="24"/>
        </w:rPr>
      </w:pPr>
      <w:r>
        <w:rPr>
          <w:sz w:val="24"/>
          <w:szCs w:val="24"/>
        </w:rPr>
        <w:t xml:space="preserve">Pasienten har pga smerter/svie vansker med adekvat munnhule/tannpleie og dette kombinert med xerostomi gir ofte dårlig tannstatus. Pasienten må følges tett av tannlege/pleier, i utgangspunktet to ganger årlig. Sukkerholdig drikke/mat må reduseres og munnhule skylles med vann/saltvann hyppig. Tenner pusses hyppig, i alle fall to ganger daglig sammen med tanntråd. Barnetannkrem er hos mange det eneste som tolereres. Fluorskyll anbefales. </w:t>
      </w:r>
    </w:p>
    <w:p w14:paraId="4AE94006" w14:textId="77777777" w:rsidR="00CB27C2" w:rsidRDefault="00CB27C2" w:rsidP="00CB27C2">
      <w:pPr>
        <w:rPr>
          <w:sz w:val="24"/>
          <w:szCs w:val="24"/>
        </w:rPr>
      </w:pPr>
    </w:p>
    <w:p w14:paraId="7149FE5E" w14:textId="77777777" w:rsidR="00CB27C2" w:rsidRPr="00C718D7" w:rsidRDefault="00CB27C2" w:rsidP="00CB27C2">
      <w:pPr>
        <w:rPr>
          <w:sz w:val="24"/>
          <w:szCs w:val="24"/>
        </w:rPr>
      </w:pPr>
    </w:p>
    <w:p w14:paraId="3EB05455" w14:textId="77777777" w:rsidR="00CB27C2" w:rsidRDefault="00CB27C2" w:rsidP="00CB27C2">
      <w:pPr>
        <w:rPr>
          <w:b/>
          <w:sz w:val="24"/>
          <w:szCs w:val="24"/>
        </w:rPr>
      </w:pPr>
    </w:p>
    <w:p w14:paraId="0DA02835" w14:textId="77777777" w:rsidR="00CB27C2" w:rsidRDefault="00CB27C2" w:rsidP="00CB27C2">
      <w:pPr>
        <w:rPr>
          <w:b/>
          <w:sz w:val="24"/>
          <w:szCs w:val="24"/>
        </w:rPr>
      </w:pPr>
    </w:p>
    <w:p w14:paraId="54333F3C" w14:textId="77777777" w:rsidR="00CB27C2" w:rsidRDefault="00CB27C2" w:rsidP="00CB27C2">
      <w:pPr>
        <w:rPr>
          <w:b/>
          <w:sz w:val="24"/>
          <w:szCs w:val="24"/>
        </w:rPr>
      </w:pPr>
    </w:p>
    <w:p w14:paraId="4D0DD3A9" w14:textId="77777777" w:rsidR="00CB27C2" w:rsidRDefault="00CB27C2"/>
    <w:sectPr w:rsidR="00CB27C2">
      <w:footerReference w:type="default" r:id="rId8"/>
      <w:type w:val="nextColumn"/>
      <w:pgSz w:w="11907" w:h="16840" w:code="9"/>
      <w:pgMar w:top="1107" w:right="1418" w:bottom="1418" w:left="1418" w:header="708"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F29D5" w14:textId="77777777" w:rsidR="00137517" w:rsidRDefault="00137517">
      <w:r>
        <w:separator/>
      </w:r>
    </w:p>
  </w:endnote>
  <w:endnote w:type="continuationSeparator" w:id="0">
    <w:p w14:paraId="2EFFA1EB" w14:textId="77777777" w:rsidR="00137517" w:rsidRDefault="0013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316"/>
      <w:gridCol w:w="2907"/>
      <w:gridCol w:w="1107"/>
      <w:gridCol w:w="933"/>
    </w:tblGrid>
    <w:tr w:rsidR="00467763" w14:paraId="74CBA468" w14:textId="77777777">
      <w:tc>
        <w:tcPr>
          <w:tcW w:w="2270" w:type="pct"/>
          <w:gridSpan w:val="2"/>
        </w:tcPr>
        <w:p w14:paraId="5C788CBD" w14:textId="77777777" w:rsidR="00467763" w:rsidRDefault="003B43C7" w:rsidP="005F62C5">
          <w:pPr>
            <w:keepNext/>
            <w:autoSpaceDE w:val="0"/>
            <w:autoSpaceDN w:val="0"/>
            <w:adjustRightInd w:val="0"/>
            <w:rPr>
              <w:rFonts w:ascii="Arial Narrow" w:hAnsi="Arial Narrow" w:cs="Times-Roman"/>
              <w:b/>
              <w:sz w:val="14"/>
              <w:szCs w:val="24"/>
            </w:rPr>
          </w:pPr>
          <w:r>
            <w:rPr>
              <w:rFonts w:ascii="Arial Narrow" w:hAnsi="Arial Narrow" w:cs="Times-Roman"/>
              <w:sz w:val="14"/>
              <w:szCs w:val="24"/>
            </w:rPr>
            <w:fldChar w:fldCharType="begin"/>
          </w:r>
          <w:r>
            <w:rPr>
              <w:rFonts w:ascii="Arial Narrow" w:hAnsi="Arial Narrow" w:cs="Times-Roman"/>
              <w:sz w:val="14"/>
              <w:szCs w:val="24"/>
            </w:rPr>
            <w:instrText xml:space="preserve"> MACROBUTTON  KlikkIFeltet [Skriv inn vedleggets tittel] </w:instrText>
          </w:r>
          <w:r>
            <w:rPr>
              <w:rFonts w:ascii="Arial Narrow" w:hAnsi="Arial Narrow" w:cs="Times-Roman"/>
              <w:sz w:val="14"/>
              <w:szCs w:val="24"/>
            </w:rPr>
            <w:fldChar w:fldCharType="end"/>
          </w:r>
          <w:r w:rsidR="00367515">
            <w:rPr>
              <w:rFonts w:ascii="Arial Narrow" w:hAnsi="Arial Narrow" w:cs="Times-Roman"/>
              <w:sz w:val="14"/>
              <w:szCs w:val="24"/>
            </w:rPr>
            <w:t>Kronisk GVHD munnhule</w:t>
          </w:r>
        </w:p>
      </w:tc>
      <w:tc>
        <w:tcPr>
          <w:tcW w:w="2215" w:type="pct"/>
          <w:gridSpan w:val="2"/>
        </w:tcPr>
        <w:p w14:paraId="17BC0EA5" w14:textId="77777777" w:rsidR="00467763" w:rsidRDefault="00467763" w:rsidP="00367515">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Org.enhet: </w:t>
          </w:r>
          <w:r w:rsidR="00367515">
            <w:rPr>
              <w:rFonts w:ascii="Arial Narrow" w:hAnsi="Arial Narrow" w:cs="Times-Roman"/>
              <w:sz w:val="14"/>
              <w:szCs w:val="24"/>
            </w:rPr>
            <w:t>Blodsykdommer</w:t>
          </w:r>
        </w:p>
      </w:tc>
      <w:tc>
        <w:tcPr>
          <w:tcW w:w="515" w:type="pct"/>
        </w:tcPr>
        <w:p w14:paraId="248A9D92" w14:textId="77777777" w:rsidR="00467763" w:rsidRDefault="00467763" w:rsidP="005F62C5">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 xml:space="preserve">Nivå: </w:t>
          </w:r>
          <w:r w:rsidR="005F62C5">
            <w:rPr>
              <w:rFonts w:ascii="Arial Narrow" w:hAnsi="Arial Narrow" w:cs="Times-Roman"/>
              <w:sz w:val="14"/>
              <w:szCs w:val="24"/>
            </w:rPr>
            <w:t>2</w:t>
          </w:r>
        </w:p>
      </w:tc>
    </w:tr>
    <w:tr w:rsidR="00467763" w14:paraId="51FB6715" w14:textId="77777777" w:rsidTr="00293BF2">
      <w:tc>
        <w:tcPr>
          <w:tcW w:w="440" w:type="pct"/>
        </w:tcPr>
        <w:p w14:paraId="436F16BA" w14:textId="77777777" w:rsidR="00467763" w:rsidRDefault="00467763" w:rsidP="003B43C7">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Versjon: </w:t>
          </w:r>
          <w:r w:rsidR="007B21B5">
            <w:rPr>
              <w:rFonts w:ascii="Arial Narrow" w:hAnsi="Arial Narrow" w:cs="Times-Roman"/>
              <w:sz w:val="14"/>
              <w:szCs w:val="24"/>
            </w:rPr>
            <w:t>2</w:t>
          </w:r>
        </w:p>
      </w:tc>
      <w:tc>
        <w:tcPr>
          <w:tcW w:w="1830" w:type="pct"/>
        </w:tcPr>
        <w:p w14:paraId="17C7BB9C" w14:textId="77777777" w:rsidR="00467763" w:rsidRDefault="00467763" w:rsidP="00367515">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Utarbeidet av: </w:t>
          </w:r>
          <w:r w:rsidR="00367515">
            <w:rPr>
              <w:rFonts w:ascii="Arial Narrow" w:hAnsi="Arial Narrow" w:cs="Times-Roman"/>
              <w:sz w:val="14"/>
              <w:szCs w:val="24"/>
            </w:rPr>
            <w:t>Eivind Galteland</w:t>
          </w:r>
        </w:p>
      </w:tc>
      <w:tc>
        <w:tcPr>
          <w:tcW w:w="1604" w:type="pct"/>
        </w:tcPr>
        <w:p w14:paraId="64750192" w14:textId="77777777" w:rsidR="00467763" w:rsidRDefault="00467763" w:rsidP="00367515">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Godkj. av: </w:t>
          </w:r>
          <w:r w:rsidR="00367515">
            <w:rPr>
              <w:rFonts w:ascii="Arial Narrow" w:hAnsi="Arial Narrow" w:cs="Times-Roman"/>
              <w:sz w:val="14"/>
              <w:szCs w:val="24"/>
            </w:rPr>
            <w:t>Geir Tjønnfjord</w:t>
          </w:r>
        </w:p>
      </w:tc>
      <w:tc>
        <w:tcPr>
          <w:tcW w:w="611" w:type="pct"/>
        </w:tcPr>
        <w:p w14:paraId="77CA3D30" w14:textId="77777777" w:rsidR="00467763" w:rsidRDefault="00467763" w:rsidP="00293BF2">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r w:rsidR="00696AD7">
            <w:rPr>
              <w:rFonts w:ascii="Arial Narrow" w:hAnsi="Arial Narrow" w:cs="Times-Roman"/>
              <w:sz w:val="14"/>
              <w:szCs w:val="24"/>
            </w:rPr>
            <w:t>01.09.23</w:t>
          </w:r>
        </w:p>
      </w:tc>
      <w:tc>
        <w:tcPr>
          <w:tcW w:w="515" w:type="pct"/>
        </w:tcPr>
        <w:p w14:paraId="249A6402" w14:textId="250C2DC5" w:rsidR="00467763" w:rsidRDefault="00467763">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E80DDD">
            <w:rPr>
              <w:rFonts w:ascii="Arial Narrow" w:hAnsi="Arial Narrow" w:cs="Times-Roman"/>
              <w:noProof/>
              <w:snapToGrid w:val="0"/>
              <w:sz w:val="14"/>
              <w:szCs w:val="24"/>
            </w:rPr>
            <w:t>3</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E80DDD">
            <w:rPr>
              <w:rFonts w:ascii="Arial Narrow" w:hAnsi="Arial Narrow" w:cs="Times-Roman"/>
              <w:noProof/>
              <w:snapToGrid w:val="0"/>
              <w:sz w:val="14"/>
              <w:szCs w:val="24"/>
            </w:rPr>
            <w:t>3</w:t>
          </w:r>
          <w:r>
            <w:rPr>
              <w:rFonts w:ascii="Arial Narrow" w:hAnsi="Arial Narrow" w:cs="Times-Roman"/>
              <w:snapToGrid w:val="0"/>
              <w:sz w:val="14"/>
              <w:szCs w:val="24"/>
            </w:rPr>
            <w:fldChar w:fldCharType="end"/>
          </w:r>
        </w:p>
      </w:tc>
    </w:tr>
  </w:tbl>
  <w:p w14:paraId="34AE7FF9" w14:textId="77777777" w:rsidR="00467763" w:rsidRDefault="004677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94CF7" w14:textId="77777777" w:rsidR="00137517" w:rsidRDefault="00137517">
      <w:r>
        <w:separator/>
      </w:r>
    </w:p>
  </w:footnote>
  <w:footnote w:type="continuationSeparator" w:id="0">
    <w:p w14:paraId="316FA8BF" w14:textId="77777777" w:rsidR="00137517" w:rsidRDefault="00137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27DF60FF"/>
    <w:multiLevelType w:val="hybridMultilevel"/>
    <w:tmpl w:val="A8DEBF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847C7B"/>
    <w:multiLevelType w:val="singleLevel"/>
    <w:tmpl w:val="A228629E"/>
    <w:lvl w:ilvl="0">
      <w:start w:val="1"/>
      <w:numFmt w:val="decimal"/>
      <w:lvlText w:val="%1."/>
      <w:lvlJc w:val="left"/>
      <w:pPr>
        <w:tabs>
          <w:tab w:val="num" w:pos="360"/>
        </w:tabs>
        <w:ind w:left="360" w:hanging="360"/>
      </w:pPr>
    </w:lvl>
  </w:abstractNum>
  <w:abstractNum w:abstractNumId="7" w15:restartNumberingAfterBreak="0">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7C53A6B"/>
    <w:multiLevelType w:val="multilevel"/>
    <w:tmpl w:val="BC20D27C"/>
    <w:styleLink w:val="punktlistaskr"/>
    <w:lvl w:ilvl="0">
      <w:start w:val="1"/>
      <w:numFmt w:val="bullet"/>
      <w:pStyle w:val="Punktliste"/>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6"/>
  </w:num>
  <w:num w:numId="11">
    <w:abstractNumId w:val="5"/>
  </w:num>
  <w:num w:numId="12">
    <w:abstractNumId w:val="5"/>
  </w:num>
  <w:num w:numId="13">
    <w:abstractNumId w:val="11"/>
  </w:num>
  <w:num w:numId="14">
    <w:abstractNumId w:val="11"/>
  </w:num>
  <w:num w:numId="15">
    <w:abstractNumId w:val="11"/>
  </w:num>
  <w:num w:numId="16">
    <w:abstractNumId w:val="11"/>
  </w:num>
  <w:num w:numId="17">
    <w:abstractNumId w:val="5"/>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7"/>
  </w:num>
  <w:num w:numId="25">
    <w:abstractNumId w:val="7"/>
  </w:num>
  <w:num w:numId="26">
    <w:abstractNumId w:val="7"/>
  </w:num>
  <w:num w:numId="27">
    <w:abstractNumId w:val="4"/>
  </w:num>
  <w:num w:numId="28">
    <w:abstractNumId w:val="12"/>
  </w:num>
  <w:num w:numId="29">
    <w:abstractNumId w:val="9"/>
  </w:num>
  <w:num w:numId="30">
    <w:abstractNumId w:val="1"/>
  </w:num>
  <w:num w:numId="31">
    <w:abstractNumId w:val="8"/>
  </w:num>
  <w:num w:numId="32">
    <w:abstractNumId w:val="1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C7"/>
    <w:rsid w:val="00137517"/>
    <w:rsid w:val="001A0CAF"/>
    <w:rsid w:val="001B7668"/>
    <w:rsid w:val="00201741"/>
    <w:rsid w:val="00234398"/>
    <w:rsid w:val="00293BF2"/>
    <w:rsid w:val="00367515"/>
    <w:rsid w:val="003A2B39"/>
    <w:rsid w:val="003B43C7"/>
    <w:rsid w:val="00467763"/>
    <w:rsid w:val="005A2C04"/>
    <w:rsid w:val="005D6846"/>
    <w:rsid w:val="005F62C5"/>
    <w:rsid w:val="006476AA"/>
    <w:rsid w:val="00696AD7"/>
    <w:rsid w:val="007433EB"/>
    <w:rsid w:val="0074663F"/>
    <w:rsid w:val="00795490"/>
    <w:rsid w:val="007A47B4"/>
    <w:rsid w:val="007B21B5"/>
    <w:rsid w:val="007D0887"/>
    <w:rsid w:val="00887835"/>
    <w:rsid w:val="00930D0F"/>
    <w:rsid w:val="009B58BF"/>
    <w:rsid w:val="00A029B1"/>
    <w:rsid w:val="00AC156E"/>
    <w:rsid w:val="00B81799"/>
    <w:rsid w:val="00BB1DE2"/>
    <w:rsid w:val="00CB27C2"/>
    <w:rsid w:val="00CC4E73"/>
    <w:rsid w:val="00CF0827"/>
    <w:rsid w:val="00E80DDD"/>
    <w:rsid w:val="00EE40E4"/>
    <w:rsid w:val="00F22587"/>
    <w:rsid w:val="00F801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8E0F592"/>
  <w15:docId w15:val="{D8969472-FBBE-4770-9B60-6B1B76E2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CB27C2"/>
    <w:rPr>
      <w:rFonts w:ascii="Tahoma" w:hAnsi="Tahoma" w:cs="Tahoma"/>
      <w:sz w:val="16"/>
      <w:szCs w:val="16"/>
    </w:rPr>
  </w:style>
  <w:style w:type="character" w:customStyle="1" w:styleId="BobletekstTegn">
    <w:name w:val="Bobletekst Tegn"/>
    <w:basedOn w:val="Standardskriftforavsnitt"/>
    <w:link w:val="Bobletekst"/>
    <w:uiPriority w:val="99"/>
    <w:semiHidden/>
    <w:rsid w:val="00CB27C2"/>
    <w:rPr>
      <w:rFonts w:ascii="Tahoma" w:hAnsi="Tahoma" w:cs="Tahoma"/>
      <w:sz w:val="16"/>
      <w:szCs w:val="16"/>
    </w:rPr>
  </w:style>
  <w:style w:type="character" w:styleId="Merknadsreferanse">
    <w:name w:val="annotation reference"/>
    <w:basedOn w:val="Standardskriftforavsnitt"/>
    <w:uiPriority w:val="99"/>
    <w:semiHidden/>
    <w:unhideWhenUsed/>
    <w:rsid w:val="00CF0827"/>
    <w:rPr>
      <w:sz w:val="16"/>
      <w:szCs w:val="16"/>
    </w:rPr>
  </w:style>
  <w:style w:type="paragraph" w:styleId="Merknadstekst">
    <w:name w:val="annotation text"/>
    <w:basedOn w:val="Normal"/>
    <w:link w:val="MerknadstekstTegn"/>
    <w:uiPriority w:val="99"/>
    <w:semiHidden/>
    <w:unhideWhenUsed/>
    <w:rsid w:val="00CF0827"/>
    <w:rPr>
      <w:sz w:val="20"/>
    </w:rPr>
  </w:style>
  <w:style w:type="character" w:customStyle="1" w:styleId="MerknadstekstTegn">
    <w:name w:val="Merknadstekst Tegn"/>
    <w:basedOn w:val="Standardskriftforavsnitt"/>
    <w:link w:val="Merknadstekst"/>
    <w:uiPriority w:val="99"/>
    <w:semiHidden/>
    <w:rsid w:val="00CF0827"/>
    <w:rPr>
      <w:rFonts w:ascii="Calibri" w:hAnsi="Calibri"/>
    </w:rPr>
  </w:style>
  <w:style w:type="paragraph" w:styleId="Kommentaremne">
    <w:name w:val="annotation subject"/>
    <w:basedOn w:val="Merknadstekst"/>
    <w:next w:val="Merknadstekst"/>
    <w:link w:val="KommentaremneTegn"/>
    <w:uiPriority w:val="99"/>
    <w:semiHidden/>
    <w:unhideWhenUsed/>
    <w:rsid w:val="00CF0827"/>
    <w:rPr>
      <w:b/>
      <w:bCs/>
    </w:rPr>
  </w:style>
  <w:style w:type="character" w:customStyle="1" w:styleId="KommentaremneTegn">
    <w:name w:val="Kommentaremne Tegn"/>
    <w:basedOn w:val="MerknadstekstTegn"/>
    <w:link w:val="Kommentaremne"/>
    <w:uiPriority w:val="99"/>
    <w:semiHidden/>
    <w:rsid w:val="00CF0827"/>
    <w:rPr>
      <w:rFonts w:ascii="Calibri" w:hAnsi="Calibri"/>
      <w:b/>
      <w:bCs/>
    </w:rPr>
  </w:style>
  <w:style w:type="numbering" w:customStyle="1" w:styleId="punktlistaskr">
    <w:name w:val="punktlista_skr"/>
    <w:uiPriority w:val="99"/>
    <w:rsid w:val="00AC156E"/>
    <w:pPr>
      <w:numPr>
        <w:numId w:val="32"/>
      </w:numPr>
    </w:pPr>
  </w:style>
  <w:style w:type="paragraph" w:styleId="Punktliste">
    <w:name w:val="List Bullet"/>
    <w:basedOn w:val="Normal"/>
    <w:uiPriority w:val="9"/>
    <w:rsid w:val="00AC156E"/>
    <w:pPr>
      <w:numPr>
        <w:numId w:val="32"/>
      </w:numPr>
      <w:spacing w:after="240" w:line="288" w:lineRule="auto"/>
      <w:contextualSpacing/>
    </w:pPr>
    <w:rPr>
      <w:rFonts w:ascii="Garamond" w:eastAsiaTheme="minorHAnsi" w:hAnsi="Garamond" w:cstheme="minorBidi"/>
      <w:kern w:val="2"/>
      <w:sz w:val="24"/>
      <w:szCs w:val="24"/>
      <w:lang w:val="sv-SE" w:eastAsia="en-US"/>
      <w14:ligatures w14:val="standardContextual"/>
    </w:rPr>
  </w:style>
  <w:style w:type="paragraph" w:styleId="Listeavsnitt">
    <w:name w:val="List Paragraph"/>
    <w:basedOn w:val="Normal"/>
    <w:uiPriority w:val="34"/>
    <w:qFormat/>
    <w:rsid w:val="00746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5383</Characters>
  <Application>Microsoft Office Word</Application>
  <DocSecurity>4</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Prydz Christensen</dc:creator>
  <cp:lastModifiedBy>Toril Remøy</cp:lastModifiedBy>
  <cp:revision>2</cp:revision>
  <cp:lastPrinted>2023-09-11T12:40:00Z</cp:lastPrinted>
  <dcterms:created xsi:type="dcterms:W3CDTF">2023-09-25T06:51:00Z</dcterms:created>
  <dcterms:modified xsi:type="dcterms:W3CDTF">2023-09-25T06:51:00Z</dcterms:modified>
</cp:coreProperties>
</file>