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44" w:rsidRPr="009D5C14" w:rsidRDefault="00B43644" w:rsidP="00B43644">
      <w:pPr>
        <w:tabs>
          <w:tab w:val="right" w:pos="1020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nb-NO"/>
        </w:rPr>
      </w:pPr>
      <w:r w:rsidRPr="009D5C14">
        <w:rPr>
          <w:rFonts w:ascii="Calibri" w:eastAsia="Times New Roman" w:hAnsi="Calibri" w:cs="Times New Roman"/>
          <w:noProof/>
          <w:sz w:val="20"/>
          <w:szCs w:val="20"/>
          <w:lang w:eastAsia="nb-NO"/>
        </w:rPr>
        <w:drawing>
          <wp:inline distT="0" distB="0" distL="0" distR="0" wp14:anchorId="30EA5071" wp14:editId="281CC483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C14">
        <w:rPr>
          <w:rFonts w:ascii="Calibri" w:eastAsia="Times New Roman" w:hAnsi="Calibri" w:cs="Times New Roman"/>
          <w:sz w:val="20"/>
          <w:szCs w:val="20"/>
          <w:lang w:eastAsia="nb-NO"/>
        </w:rPr>
        <w:tab/>
        <w:t>Legges ved det dokumentet som er utarbeidet.</w:t>
      </w:r>
    </w:p>
    <w:p w:rsidR="00B43644" w:rsidRPr="009D5C14" w:rsidRDefault="00B43644" w:rsidP="00B43644">
      <w:pPr>
        <w:tabs>
          <w:tab w:val="left" w:pos="360"/>
        </w:tabs>
        <w:spacing w:before="120" w:after="120" w:line="240" w:lineRule="auto"/>
        <w:outlineLvl w:val="0"/>
        <w:rPr>
          <w:rFonts w:ascii="Calibri" w:eastAsia="Times New Roman" w:hAnsi="Calibri" w:cs="Times New Roman"/>
          <w:b/>
          <w:sz w:val="28"/>
          <w:szCs w:val="20"/>
          <w:lang w:eastAsia="nb-NO"/>
        </w:rPr>
      </w:pPr>
      <w:r w:rsidRPr="009D5C14">
        <w:rPr>
          <w:rFonts w:ascii="Calibri" w:eastAsia="Times New Roman" w:hAnsi="Calibri" w:cs="Times New Roman"/>
          <w:b/>
          <w:sz w:val="32"/>
          <w:szCs w:val="20"/>
          <w:lang w:eastAsia="nb-NO"/>
        </w:rPr>
        <w:t xml:space="preserve">AGREE metoderapport - </w:t>
      </w:r>
      <w:r w:rsidRPr="009D5C14">
        <w:rPr>
          <w:rFonts w:ascii="Calibri" w:eastAsia="Times New Roman" w:hAnsi="Calibri" w:cs="Times New Roman"/>
          <w:b/>
          <w:sz w:val="32"/>
          <w:szCs w:val="20"/>
          <w:lang w:eastAsia="nb-NO"/>
        </w:rPr>
        <w:br/>
        <w:t>om hvordan dokumentet er utarbeidet - informasjon 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B43644" w:rsidRPr="009D5C14" w:rsidTr="00B27330">
        <w:tc>
          <w:tcPr>
            <w:tcW w:w="10422" w:type="dxa"/>
            <w:gridSpan w:val="6"/>
            <w:shd w:val="clear" w:color="auto" w:fill="F3F3F3"/>
          </w:tcPr>
          <w:p w:rsidR="00B43644" w:rsidRPr="009D5C14" w:rsidRDefault="00B43644" w:rsidP="00B27330">
            <w:pPr>
              <w:tabs>
                <w:tab w:val="left" w:pos="1734"/>
                <w:tab w:val="right" w:pos="10065"/>
              </w:tabs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For alle dokumenter fylles følgende ut: Spørsmål 1-10 og AGREE-krav 1, 4, 5, 13, 20 og 23 (Kortversjon)</w:t>
            </w:r>
          </w:p>
          <w:p w:rsidR="00B43644" w:rsidRPr="009D5C14" w:rsidRDefault="00B43644" w:rsidP="00B27330">
            <w:pPr>
              <w:tabs>
                <w:tab w:val="left" w:pos="1734"/>
                <w:tab w:val="right" w:pos="10065"/>
              </w:tabs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For dokumenter som er utarbeidet kunnskapsbasert fylles følgende ut: Spørsmål 1-10 og alle AGREE-kravene (langversjon)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1. Dokumenttittel (og id nr.):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10346E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10346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Infusjonsrelaterte reaksjoner (IRR) ved medikamentell kreftbehandling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(</w:t>
            </w:r>
            <w:r w:rsidRPr="0010346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56107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)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2. Er dokumentet relevant for mer enn en klinikk?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Ja, dokumentet er relevant for alle avdelinger som driver med medikamentell kreftbehandling, inkludert Avdeling for blodsykdommer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3.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4.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B43644" w:rsidRPr="009D5C14" w:rsidRDefault="0091473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Sigbjørn Smeland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bookmarkEnd w:id="0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Nivå 1 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bookmarkEnd w:id="1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Nivå 2</w:t>
            </w:r>
          </w:p>
        </w:tc>
      </w:tr>
      <w:tr w:rsidR="00B43644" w:rsidRPr="009D5C14" w:rsidTr="00B27330">
        <w:trPr>
          <w:trHeight w:val="764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5.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Nei</w:t>
            </w:r>
          </w:p>
        </w:tc>
      </w:tr>
      <w:tr w:rsidR="00B43644" w:rsidRPr="009D5C14" w:rsidTr="00B27330">
        <w:trPr>
          <w:trHeight w:val="574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6. Er dokumentet plassert i riktig mappe i </w:t>
            </w: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eHåndboken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rPr>
          <w:trHeight w:val="642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7.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8. Er relevant lovverk og nasjonale retningslinjer inkludert? 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9.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914734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Ja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 xml:space="preserve">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Nei, ikke nødvendig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br/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10. Er det andre opplysninger 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Nei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AGREE-KRAVENE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 </w:t>
            </w:r>
            <w:hyperlink r:id="rId6" w:tgtFrame="_parent" w:history="1">
              <w:r w:rsidRPr="009D5C14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nb-NO"/>
                </w:rPr>
                <w:t>AGREE - metoderapport. Veiledning for utfylling.</w:t>
              </w:r>
            </w:hyperlink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1. Dokumentets overordnede mål er klart beskrevet </w:t>
            </w: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br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(Hvorfor trengs dokumentet?)</w:t>
            </w:r>
          </w:p>
        </w:tc>
        <w:tc>
          <w:tcPr>
            <w:tcW w:w="7479" w:type="dxa"/>
            <w:gridSpan w:val="5"/>
          </w:tcPr>
          <w:p w:rsidR="00B43644" w:rsidRDefault="00B43644" w:rsidP="00914734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</w:p>
          <w:p w:rsidR="00914734" w:rsidRPr="009D5C14" w:rsidRDefault="00914734" w:rsidP="00914734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Leger og sykepleiere skal behandle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IRR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ved medikamentell kreftbehandling på en enhetlig, kunnskapsbasert og medisinsk forsvarlig måte.</w:t>
            </w: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</w:t>
            </w: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.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Helsespørsmålet (ene) i dokumentet er klart beskrevet?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>(for kunnskapsbaserte dokumenter kan man her bare henvise til vedlagt PICO-skjema)</w:t>
            </w:r>
          </w:p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se vedlagt PICO i Dokumentasjon av litteratursøk</w:t>
            </w:r>
          </w:p>
        </w:tc>
      </w:tr>
      <w:tr w:rsidR="00B43644" w:rsidRPr="009D5C14" w:rsidTr="00B27330">
        <w:trPr>
          <w:trHeight w:val="1147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3. Populasjonen (pasienter, befolkning osv.) dokumentet gjelder for er klart beskrevet? 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>(for kunnskapsbaserte dokumenter kan man her bare henvise til vedlagt PICO-skjema)</w:t>
            </w:r>
          </w:p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se vedlagt PICO i Dokumentasjon av litteratursøk</w:t>
            </w:r>
          </w:p>
        </w:tc>
      </w:tr>
      <w:tr w:rsidR="00B43644" w:rsidRPr="009D5C14" w:rsidTr="00B27330">
        <w:trPr>
          <w:trHeight w:val="3103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lastRenderedPageBreak/>
              <w:t xml:space="preserve">4.  Arbeidsgruppen som har utarbeidet dokumentet har med personer fra alle relevante faggrupper </w:t>
            </w:r>
            <w:r w:rsidRPr="009D5C14">
              <w:rPr>
                <w:rFonts w:ascii="Calibri" w:eastAsia="Times New Roman" w:hAnsi="Calibri" w:cs="Times New Roman"/>
                <w:bCs/>
                <w:sz w:val="20"/>
                <w:szCs w:val="20"/>
                <w:lang w:eastAsia="nb-NO"/>
              </w:rPr>
              <w:t>(navn, tittel, og arbeidssted på alle):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Noter også ned de råd, utvalg, kompetansesentra etc. som har deltatt.</w:t>
            </w:r>
          </w:p>
        </w:tc>
        <w:tc>
          <w:tcPr>
            <w:tcW w:w="7479" w:type="dxa"/>
            <w:gridSpan w:val="5"/>
          </w:tcPr>
          <w:p w:rsidR="00C4201E" w:rsidRDefault="00C4201E" w:rsidP="00C4201E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Åsa Morisbak, Intensivsykepleier</w:t>
            </w:r>
            <w:r w:rsidR="0080235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</w:t>
            </w:r>
            <w:r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>Onkologisk poliklinikk, Ullevål, AKB, KRE</w:t>
            </w:r>
          </w:p>
          <w:p w:rsidR="00914734" w:rsidRDefault="00B43644" w:rsidP="00B27330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6B7E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Ragnhild Taarud, Kreftsykepleier med fagansvar, Infusjonsenheten, Radiumhospitalet, AKB,</w:t>
            </w:r>
            <w:r w:rsidR="00EF6B4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KRE</w:t>
            </w:r>
            <w:r w:rsidRPr="006B7E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OUS (leder for arbeidsgruppen)</w:t>
            </w:r>
          </w:p>
          <w:p w:rsidR="00914734" w:rsidRPr="00914734" w:rsidRDefault="00914734" w:rsidP="00914734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Ingvild Gaare-Olstad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Koordinator/sykepleier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Regionalt senter for astma, allergi og overfølsomhet, Lungemedisinsk </w:t>
            </w:r>
            <w:proofErr w:type="spellStart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avd</w:t>
            </w:r>
            <w:proofErr w:type="spellEnd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MED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Pr="000F456F" w:rsidRDefault="00914734" w:rsidP="000F456F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Ragnhild Gulsvik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Overlege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Regionalt senter for astma, allergi og overfølsomhet, Lungemedisinsk </w:t>
            </w:r>
            <w:proofErr w:type="spellStart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avd</w:t>
            </w:r>
            <w:proofErr w:type="spellEnd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MED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  <w:r w:rsidRPr="000F456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Pr="00C4201E" w:rsidRDefault="00914734" w:rsidP="00C4201E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Toril Remøy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Fagsykepleier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Avdeling for blodsykdommer, BLO/KRE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  <w:r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Pr="00914734" w:rsidRDefault="00914734" w:rsidP="00914734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Bente Vilming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Overlege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>Seksjon for generell gynekologisk kreftbehandling, AKB/KRE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Default="00914734" w:rsidP="00351212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Angel Ernesto Castillo Mandon, Overlege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 xml:space="preserve">Seksjon for </w:t>
            </w:r>
            <w:proofErr w:type="spellStart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gastrointestinal</w:t>
            </w:r>
            <w:proofErr w:type="spellEnd"/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kreftbehandling, AKB/KRE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Pr="00914734" w:rsidRDefault="00914734" w:rsidP="00914734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Anne Kristin Hæg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Overlege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Seksjon anestesiologi, Radiumhospitalet, Avdeling for Anestesiologi, AKU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914734" w:rsidRPr="00914734" w:rsidRDefault="00914734" w:rsidP="00914734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Hanne Stenberg-Nilsen</w:t>
            </w:r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RELIS</w:t>
            </w:r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f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armasøyt</w:t>
            </w:r>
          </w:p>
          <w:p w:rsidR="00B43644" w:rsidRPr="00C4201E" w:rsidRDefault="00914734" w:rsidP="00C4201E">
            <w:pPr>
              <w:pStyle w:val="Listeavsnitt"/>
              <w:numPr>
                <w:ilvl w:val="0"/>
                <w:numId w:val="2"/>
              </w:numPr>
              <w:spacing w:before="60"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Berit H Munkeby</w:t>
            </w:r>
            <w:r w:rsidR="00C4201E">
              <w:t xml:space="preserve"> </w:t>
            </w:r>
            <w:r w:rsidR="00C4201E"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Overlege</w:t>
            </w:r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Seksjon: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Anestesiologi, Radiumhospitalet, Avdeling for Anestesiologi </w:t>
            </w:r>
            <w:r w:rsidRPr="0091473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5. Synspunkter og preferanser fra målgruppen </w:t>
            </w:r>
            <w:r w:rsidRPr="009D5C14">
              <w:rPr>
                <w:rFonts w:ascii="Calibri" w:eastAsia="Times New Roman" w:hAnsi="Calibri" w:cs="Times New Roman"/>
                <w:bCs/>
                <w:sz w:val="20"/>
                <w:szCs w:val="20"/>
                <w:lang w:eastAsia="nb-NO"/>
              </w:rPr>
              <w:t xml:space="preserve">(pasienter, befolkningen, pasient-organisasjoner, brukerråd </w:t>
            </w:r>
            <w:proofErr w:type="spellStart"/>
            <w:r w:rsidRPr="009D5C14">
              <w:rPr>
                <w:rFonts w:ascii="Calibri" w:eastAsia="Times New Roman" w:hAnsi="Calibri" w:cs="Times New Roman"/>
                <w:bCs/>
                <w:sz w:val="20"/>
                <w:szCs w:val="20"/>
                <w:lang w:eastAsia="nb-NO"/>
              </w:rPr>
              <w:t>etc</w:t>
            </w:r>
            <w:proofErr w:type="spellEnd"/>
            <w:r w:rsidRPr="009D5C14">
              <w:rPr>
                <w:rFonts w:ascii="Calibri" w:eastAsia="Times New Roman" w:hAnsi="Calibri" w:cs="Times New Roman"/>
                <w:bCs/>
                <w:sz w:val="20"/>
                <w:szCs w:val="20"/>
                <w:lang w:eastAsia="nb-NO"/>
              </w:rPr>
              <w:t>)</w:t>
            </w: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 som dokumenter gjelder for er forsøkt inkludert.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Ikke relevant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6. Det fremgår klart hvem som skal bruke prosedyren?</w:t>
            </w:r>
          </w:p>
        </w:tc>
        <w:tc>
          <w:tcPr>
            <w:tcW w:w="7479" w:type="dxa"/>
            <w:gridSpan w:val="5"/>
          </w:tcPr>
          <w:p w:rsidR="00B4364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>(for kunnskapsbaserte dokumenter kan man her bare henvise til vedlagt PICO-skjema)</w:t>
            </w:r>
          </w:p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</w:pPr>
          </w:p>
          <w:p w:rsidR="00B43644" w:rsidRPr="009D5C14" w:rsidRDefault="00B43644" w:rsidP="00C4201E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Ja. </w:t>
            </w:r>
            <w:r w:rsidR="00C4201E"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Leger og </w:t>
            </w:r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sykepleiere som gir </w:t>
            </w:r>
            <w:proofErr w:type="spellStart"/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i.v</w:t>
            </w:r>
            <w:proofErr w:type="spellEnd"/>
            <w:r w:rsid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  <w:r w:rsidR="00C4201E" w:rsidRPr="00C4201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medikamentell kreftbehandling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7. Systematiske metoder ble brukt for å søke etter kunnskapsgrunnlaget til dokumentet?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(</w:t>
            </w: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 xml:space="preserve">for kunnskapsbaserte dokumenter kan man her bare henvise til vedlagt søkehistorikk som er tilsendt fra medisinsk bibliotek) </w:t>
            </w:r>
          </w:p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636E5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Ja, se vedlagt PICO i Dokumentasjon av litteratursøk</w:t>
            </w:r>
            <w:r w:rsidR="007B15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8. Kriterier for utvelgelse av kunnskapsgrunnlaget i dokumentet er klart beskrevet?</w:t>
            </w:r>
          </w:p>
        </w:tc>
        <w:tc>
          <w:tcPr>
            <w:tcW w:w="7479" w:type="dxa"/>
            <w:gridSpan w:val="5"/>
          </w:tcPr>
          <w:p w:rsidR="00994218" w:rsidRDefault="004D52AA" w:rsidP="00994218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ble gjort systematiske søk november 2020 ve</w:t>
            </w:r>
            <w:r w:rsidR="00983721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 hjelp av medisinsk bibliotekar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Gunn Kleven</w:t>
            </w:r>
            <w:r w:rsidR="00F80CA7" w:rsidRPr="00F80CA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UiO:</w:t>
            </w:r>
            <w:r w:rsidR="00F80CA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="00F80CA7" w:rsidRPr="00F80CA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Universitetsbiblioteket, Medisinsk bibliotek Rikshospitalet</w:t>
            </w:r>
            <w:r w:rsidR="00F80CA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(vedlegg</w:t>
            </w:r>
            <w:r w:rsidR="00983721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)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 En stor del av litteraturen</w:t>
            </w:r>
            <w:r w:rsidR="00B4364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er </w:t>
            </w:r>
            <w:r w:rsidR="00983721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hentet fra Up to date, som er et evidensbasert digitalt oppslagsverk som oppdateres flere ganger i året.</w:t>
            </w:r>
          </w:p>
          <w:p w:rsidR="00D0005A" w:rsidRDefault="00D0005A" w:rsidP="00994218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Allergilegen i gruppa har også lagt til et par ar</w:t>
            </w:r>
            <w:r w:rsidR="00E60A25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tikler som har kommet ut etter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at litteratursøket ble utført.</w:t>
            </w:r>
          </w:p>
          <w:p w:rsidR="00B43644" w:rsidRPr="009D5C14" w:rsidRDefault="00B43644" w:rsidP="00994218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9. Styrker og svakheter ved kunnskapsgrunnlaget i dokumentet er klart beskrevet?</w:t>
            </w:r>
          </w:p>
        </w:tc>
        <w:tc>
          <w:tcPr>
            <w:tcW w:w="7479" w:type="dxa"/>
            <w:gridSpan w:val="5"/>
          </w:tcPr>
          <w:p w:rsidR="00B4364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Ja. Se kapitel 9</w:t>
            </w:r>
            <w:r w:rsidRPr="00006CE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i vedlagt Metoderapport fra 2015.</w:t>
            </w:r>
          </w:p>
          <w:p w:rsidR="00BC7B4F" w:rsidRDefault="00994218" w:rsidP="00E44BFC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Styrke i kunnskapsgrunnlaget er at vi har brukt mye Up To Date som er et klinisk oppslagsverk. Kliniske oppslagsverk er</w:t>
            </w:r>
            <w:r w:rsid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på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nest øverste nivå i kunnskapspyramiden.</w:t>
            </w:r>
            <w:r w:rsidR="00B43644" w:rsidRPr="00006CE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</w:p>
          <w:p w:rsidR="00BC7B4F" w:rsidRDefault="00BC7B4F" w:rsidP="00E44BFC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B43644" w:rsidRPr="009D5C14" w:rsidRDefault="00994218" w:rsidP="007B1583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Svakheter er at opplysningene i tabellene </w:t>
            </w:r>
            <w:r w:rsidR="00E44BFC" w:rsidRPr="00BC7B4F">
              <w:rPr>
                <w:rFonts w:ascii="Calibri" w:eastAsia="Times New Roman" w:hAnsi="Calibri" w:cs="Times New Roman"/>
                <w:i/>
                <w:sz w:val="20"/>
                <w:szCs w:val="20"/>
                <w:lang w:eastAsia="nb-NO"/>
              </w:rPr>
              <w:t>Oversikt IRR kjemoterapi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</w:t>
            </w:r>
            <w:r w:rsidR="00E44BFC" w:rsidRPr="00BC7B4F">
              <w:rPr>
                <w:rFonts w:ascii="Calibri" w:eastAsia="Times New Roman" w:hAnsi="Calibri" w:cs="Times New Roman"/>
                <w:i/>
                <w:sz w:val="20"/>
                <w:szCs w:val="20"/>
                <w:lang w:eastAsia="nb-NO"/>
              </w:rPr>
              <w:t>Oversikt IRR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="00E44BFC" w:rsidRPr="00BC7B4F">
              <w:rPr>
                <w:rFonts w:ascii="Calibri" w:eastAsia="Times New Roman" w:hAnsi="Calibri" w:cs="Times New Roman"/>
                <w:i/>
                <w:sz w:val="20"/>
                <w:szCs w:val="20"/>
                <w:lang w:eastAsia="nb-NO"/>
              </w:rPr>
              <w:t>monoklonale antistoffer</w:t>
            </w:r>
            <w:r w:rsidR="007B15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som er hentet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fra Felleskatalogen, Up To Date og </w:t>
            </w:r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ESMO </w:t>
            </w:r>
            <w:proofErr w:type="spellStart"/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Clinical</w:t>
            </w:r>
            <w:proofErr w:type="spellEnd"/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Practice</w:t>
            </w:r>
            <w:proofErr w:type="spellEnd"/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Guidelines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</w:t>
            </w:r>
            <w:r w:rsidR="007B15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ikke alltid</w:t>
            </w:r>
            <w:r w:rsidR="007B15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har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identiske opplysninger på symptomer og forekomst av IRR.</w:t>
            </w:r>
            <w:r w:rsidR="00E44BFC">
              <w:t xml:space="preserve"> </w:t>
            </w:r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Vi </w:t>
            </w:r>
            <w:r w:rsid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har derfor presisert</w:t>
            </w:r>
            <w:r w:rsidR="00E44BFC" w:rsidRPr="00E44BF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at det mangler grundige data på flere av medikamentene i tabellen, og at anbefalingene er kun ment som veiledende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lastRenderedPageBreak/>
              <w:t>10. Metodene som er brukt for å utarbeide anbefalingene i dokumentet er tydelige?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C7B4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006CE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Ja.</w:t>
            </w:r>
            <w:r w:rsid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="00BC7B4F" w:rsidRP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Vi har fulgt metoden for kunnskapsbasert praksis. Refleksjon forut for problemformulering, spørsmålsformulering med PICO, systematisk litteratursøk, kritisk vurdering av litteratur, anvendelse av litteratur (forskningsbasert kunnskap og </w:t>
            </w:r>
            <w:proofErr w:type="spellStart"/>
            <w:r w:rsidR="00BC7B4F" w:rsidRP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erfaringsbasert</w:t>
            </w:r>
            <w:proofErr w:type="spellEnd"/>
            <w:r w:rsidR="00BC7B4F" w:rsidRP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kunnskap</w:t>
            </w:r>
            <w:r w:rsidR="00D0005A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)</w:t>
            </w:r>
            <w:r w:rsid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11. Helsemessige fordeler, bivirkninger og risikoer er tatt i betraktning ved utarbeidelsen av anbefalingene?</w:t>
            </w:r>
          </w:p>
        </w:tc>
        <w:tc>
          <w:tcPr>
            <w:tcW w:w="7479" w:type="dxa"/>
            <w:gridSpan w:val="5"/>
          </w:tcPr>
          <w:p w:rsidR="00B43644" w:rsidRPr="009D5C14" w:rsidRDefault="00BC7B4F" w:rsidP="00BC7B4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er lagt vekt på at helsepersonell skal være godt forberedt og ha en god kunnskap og beredskap v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ed infusjonsrelaterte reaksjoner</w:t>
            </w:r>
            <w:r w:rsidRPr="00BC7B4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 Det er også fokus på at man etter en alvorlig infusjonsreaksjon må være svært forsiktig ved en eventuell ny oppstart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og vurdere om pasienten bør henvises allergologisk utredning.</w:t>
            </w:r>
          </w:p>
        </w:tc>
      </w:tr>
      <w:tr w:rsidR="00B43644" w:rsidRPr="009D5C14" w:rsidTr="00B27330">
        <w:trPr>
          <w:trHeight w:val="135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12. Det fremgår tydelig hvordan anbefalingene henger sammen med kunnskapsgrunnlaget?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B43644" w:rsidRPr="009D5C14" w:rsidRDefault="00B43644" w:rsidP="002A5952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Ja. </w:t>
            </w:r>
            <w:r w:rsidR="002A5952" w:rsidRP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Anbefalingene</w:t>
            </w:r>
            <w:r w:rsidR="002A5952">
              <w:t xml:space="preserve"> </w:t>
            </w:r>
            <w:r w:rsidR="002A5952" w:rsidRP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 </w:t>
            </w:r>
            <w:r w:rsid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retningslinjen </w:t>
            </w:r>
            <w:r w:rsidR="002A5952" w:rsidRP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henger sammen med kunnskapsgrunnlaget</w:t>
            </w:r>
            <w:r w:rsid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, og det</w:t>
            </w:r>
            <w:r w:rsidR="002A5952" w:rsidRP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er henvist til referanser </w:t>
            </w:r>
            <w:r w:rsidR="002A5952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fortløpende i dokumentet.</w:t>
            </w:r>
          </w:p>
        </w:tc>
      </w:tr>
      <w:tr w:rsidR="00B43644" w:rsidRPr="009D5C14" w:rsidTr="00B27330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13. Fagprosedyrene er blitt vurdert eksternt av eksperter før publisering </w:t>
            </w:r>
            <w:r w:rsidRPr="009D5C14">
              <w:rPr>
                <w:rFonts w:ascii="Calibri" w:eastAsia="Times New Roman" w:hAnsi="Calibri" w:cs="Times New Roman"/>
                <w:bCs/>
                <w:sz w:val="20"/>
                <w:szCs w:val="20"/>
                <w:lang w:eastAsia="nb-NO"/>
              </w:rPr>
              <w:t>(navn, tittel, og arbeidssted på alle)?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Er evt. tilbakemeldinger gjennomgått?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B43644" w:rsidRPr="009D5C14" w:rsidRDefault="002A5952" w:rsidP="00184789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Fagprosedyren har vært ute på høring hos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representanter fra CMS og </w:t>
            </w:r>
            <w:r w:rsid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følgende personer i Kreftklinikken OUS: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seksjonsledere</w:t>
            </w:r>
            <w:r w:rsid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fagansvarlige leger</w:t>
            </w:r>
            <w:r w:rsid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fagsykepleiere/</w:t>
            </w:r>
            <w:r w:rsidR="00B161FB" w:rsidRP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kreftsykepleier</w:t>
            </w:r>
            <w:r w:rsid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</w:t>
            </w:r>
            <w:r w:rsidR="00B161FB" w:rsidRP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med fagansvar i </w:t>
            </w:r>
            <w:r w:rsidR="00B161FB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avdeling for gynekologisk kreft, avdeling for kreftbehandling 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og avdeling for blodsykdommer. Alle høringsdeltagere har blitt oppfordret til i videresende retningslinjen til andre relevante fagpersoner for å fåen bredest mulig høring.</w:t>
            </w:r>
          </w:p>
        </w:tc>
      </w:tr>
      <w:tr w:rsidR="00B43644" w:rsidRPr="009D5C14" w:rsidTr="00B27330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Ja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 xml:space="preserve">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Nei, det var ingen tilbakemeldinger.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</w:r>
          </w:p>
          <w:p w:rsidR="00B43644" w:rsidRDefault="00B43644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184789" w:rsidRDefault="00184789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184789" w:rsidRDefault="00B161FB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Alle tilbakemeldinger som kom i høringsrunden er gjennomgått og tatt stilling til. 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</w:t>
            </w:r>
            <w:r w:rsidR="0066265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et ble utført 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noen endringer i innhold og format</w:t>
            </w:r>
            <w:r w:rsidR="0066265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etter innspill fra representanter i høringsgruppen</w:t>
            </w:r>
            <w:r w:rsidR="009222E0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  <w:r w:rsidR="00184789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</w:p>
          <w:p w:rsidR="00B43644" w:rsidRDefault="00184789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En overlege ville ikke anbefale retningslinjen som ble sendt til høring, og vi har forsøkt å tilpasse innholdet slik at hen også kunne gå god for det faglige innholdet.</w:t>
            </w:r>
          </w:p>
          <w:p w:rsidR="00B43644" w:rsidRPr="009D5C14" w:rsidRDefault="00B43644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B43644" w:rsidRPr="009D5C14" w:rsidTr="00B27330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14. Tidsplan og ansvarlige personer for oppdatering av dokumentet er klart beskrevet.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Her kommer det frem om oppdatering inngår i </w:t>
            </w: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århjul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eller faste planer for avdelingen.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3 år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2 år 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1 år     Annen: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FORMTEXT </w:instrTex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MS Mincho" w:eastAsia="MS Mincho" w:hAnsi="MS Mincho" w:cs="MS Mincho" w:hint="eastAsia"/>
                <w:sz w:val="20"/>
                <w:szCs w:val="20"/>
                <w:lang w:eastAsia="nb-NO"/>
              </w:rPr>
              <w:t>     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</w:p>
        </w:tc>
      </w:tr>
      <w:tr w:rsidR="00B43644" w:rsidRPr="009D5C14" w:rsidTr="00B27330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Ja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ab/>
              <w:t xml:space="preserve">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Nei, jeg foreslår at en annen overtar ansvaret: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FORMTEXT </w:instrTex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MS Mincho" w:eastAsia="MS Mincho" w:hAnsi="MS Mincho" w:cs="MS Mincho" w:hint="eastAsia"/>
                <w:sz w:val="20"/>
                <w:szCs w:val="20"/>
                <w:lang w:eastAsia="nb-NO"/>
              </w:rPr>
              <w:t>     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</w:p>
        </w:tc>
      </w:tr>
      <w:tr w:rsidR="00B43644" w:rsidRPr="009D5C14" w:rsidTr="00B27330">
        <w:trPr>
          <w:trHeight w:val="1199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15. Anbefalingene er spesifikke og tydelige?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rPr>
          <w:trHeight w:val="1273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16. De ulike mulighetene for håndtering av tilstanden eller helsespørsmålene er klart beskrevet?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rPr>
          <w:trHeight w:val="1273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lastRenderedPageBreak/>
              <w:t>17. De sentrale anbefalingene er lette å identifisere?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Ja</w:t>
            </w:r>
          </w:p>
        </w:tc>
      </w:tr>
      <w:tr w:rsidR="00B43644" w:rsidRPr="009D5C14" w:rsidTr="00B27330">
        <w:trPr>
          <w:trHeight w:val="1273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18. Faktorer som hemmer og fremmer bruk av dokumentet er klart beskrevet?</w:t>
            </w: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 xml:space="preserve"> </w:t>
            </w: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br/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B161FB" w:rsidRDefault="00B161FB" w:rsidP="00B161FB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Fremmende faktorer er:</w:t>
            </w:r>
          </w:p>
          <w:p w:rsidR="00475CBE" w:rsidRDefault="00475CBE" w:rsidP="00B161FB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-Arbeidsgruppens intensjon er at revidert utgave av denne retningslinjen blir mer oversiktlig og lettere å gjøre oppslag i.</w:t>
            </w:r>
          </w:p>
          <w:p w:rsidR="00475CBE" w:rsidRDefault="00475CBE" w:rsidP="00335157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-</w:t>
            </w:r>
            <w:r w:rsidR="0033515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har blitt holdt en del undervisning for sykepleiere på sengeposter i avdeling for kreftbehandling i løpet av de siste årene.</w:t>
            </w:r>
          </w:p>
          <w:p w:rsidR="00475CBE" w:rsidRDefault="00475CBE" w:rsidP="00335157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-</w:t>
            </w:r>
            <w:r w:rsidR="0033515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På fordypningskurs i medikamentell kreftbehandling for sykepleiere, som arrangeres to ganger i året, er undervisning om IRR ved medikame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</w:t>
            </w:r>
            <w:r w:rsidR="00335157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tell kreftbehandling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ett av temaene. -Det har vært undervisning av LIS-leger.</w:t>
            </w:r>
          </w:p>
          <w:p w:rsidR="00335157" w:rsidRDefault="00335157" w:rsidP="00475CBE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Retningslinjen ligger inne i kompetanseportalen </w:t>
            </w:r>
            <w:r w:rsidR="0066265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og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skal leses årlig av alle sykepleier</w:t>
            </w:r>
            <w:r w:rsidR="00475CB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leger i Kreftklinikken</w:t>
            </w:r>
            <w:r w:rsidR="00475CB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</w:t>
            </w:r>
          </w:p>
          <w:p w:rsidR="00475CBE" w:rsidRPr="009D5C14" w:rsidRDefault="00475CBE" w:rsidP="00475CBE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Hemmende faktorer: Det kommer stadig nye leger og sykepleiere, og det kan være en utfordring å få til et systematisk opplæringsprogram på IRR som sikrer at alle nye får opplæring.</w:t>
            </w:r>
          </w:p>
        </w:tc>
      </w:tr>
      <w:tr w:rsidR="00B43644" w:rsidRPr="009D5C14" w:rsidTr="00B27330">
        <w:trPr>
          <w:trHeight w:val="1273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19.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662ACD" w:rsidRDefault="00662ACD" w:rsidP="00662ACD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er laget observasjonsskjema som skal brukes for å registrere symptomer, NEWS, utløsende agens og hvilke medikamenter som blir brukt under IRR.</w:t>
            </w:r>
          </w:p>
          <w:p w:rsidR="00A0443A" w:rsidRDefault="00A0443A" w:rsidP="00662ACD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A0443A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er laget en tabell som viser de vanligste symptomene ved anafylaksi og IRR,</w:t>
            </w:r>
          </w:p>
          <w:p w:rsidR="00662ACD" w:rsidRDefault="00662ACD" w:rsidP="00662ACD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Det er også laget mal for dokumentasjon av IRR/anafylaksi som legges inn som frase i EPJ.</w:t>
            </w:r>
          </w:p>
          <w:p w:rsidR="00B43644" w:rsidRPr="009D5C14" w:rsidRDefault="00662ACD" w:rsidP="005C3F2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 tillegg er det laget to tabeller</w:t>
            </w:r>
            <w:r w:rsidR="005C3F2F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: Oversikt IRR kjemoterapi og Oversikt IRR monoklonale antistoffer.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B43644" w:rsidRPr="009D5C14" w:rsidTr="00B27330">
        <w:trPr>
          <w:trHeight w:val="978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 xml:space="preserve">20. Potensielle ressursmessige konsekvenser ved å anvende anbefalingene er tatt med i betraktning </w:t>
            </w:r>
          </w:p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(Settes det krav som kan få store konsekvenser?</w:t>
            </w:r>
          </w:p>
        </w:tc>
        <w:tc>
          <w:tcPr>
            <w:tcW w:w="7479" w:type="dxa"/>
            <w:gridSpan w:val="5"/>
          </w:tcPr>
          <w:p w:rsidR="00B4364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Nei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Ja, se spesielt dette/disse punktene: </w:t>
            </w:r>
          </w:p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B43644" w:rsidRPr="009D5C14" w:rsidTr="00B27330"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21. Dokumentets kriterier for etterlevelse og evaluering er klart beskrevet?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Ja</w:t>
            </w:r>
          </w:p>
        </w:tc>
      </w:tr>
      <w:tr w:rsidR="00B43644" w:rsidRPr="009D5C14" w:rsidTr="00B27330">
        <w:trPr>
          <w:trHeight w:val="134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22. Synspunkter fra finansielle eller redaksjonelle instanser har ikke hatt innvirkning på innholdet i dokumentet?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Nei</w:t>
            </w:r>
          </w:p>
        </w:tc>
      </w:tr>
      <w:tr w:rsidR="00B43644" w:rsidRPr="009D5C14" w:rsidTr="00B27330">
        <w:trPr>
          <w:trHeight w:val="1615"/>
        </w:trPr>
        <w:tc>
          <w:tcPr>
            <w:tcW w:w="2943" w:type="dxa"/>
            <w:shd w:val="clear" w:color="auto" w:fill="F3F3F3"/>
          </w:tcPr>
          <w:p w:rsidR="00B43644" w:rsidRPr="009D5C14" w:rsidRDefault="00B43644" w:rsidP="00B27330">
            <w:pPr>
              <w:spacing w:before="60" w:after="6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23. Interessekonflikter i arbeidsgruppen bak dokumentet er dokumentert og håndtert?</w:t>
            </w:r>
          </w:p>
        </w:tc>
        <w:tc>
          <w:tcPr>
            <w:tcW w:w="7479" w:type="dxa"/>
            <w:gridSpan w:val="5"/>
          </w:tcPr>
          <w:p w:rsidR="00B43644" w:rsidRPr="009D5C1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X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Stor enighet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</w:t>
            </w: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Enighet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hos de fleste  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Middels enighet    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FORMCHECKBOX </w:instrText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="000451AC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Ingen enighet</w:t>
            </w:r>
          </w:p>
          <w:p w:rsidR="00B43644" w:rsidRDefault="00B43644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16"/>
                <w:szCs w:val="20"/>
                <w:lang w:eastAsia="nb-NO"/>
              </w:rPr>
              <w:t xml:space="preserve">Faglig uenighet begrunnes og beskrives.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instrText xml:space="preserve"> FORMTEXT </w:instrTex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separate"/>
            </w:r>
            <w:r w:rsidRPr="009D5C14">
              <w:rPr>
                <w:rFonts w:ascii="MS Mincho" w:eastAsia="MS Mincho" w:hAnsi="MS Mincho" w:cs="MS Mincho" w:hint="eastAsia"/>
                <w:sz w:val="20"/>
                <w:szCs w:val="20"/>
                <w:lang w:eastAsia="nb-NO"/>
              </w:rPr>
              <w:t>     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fldChar w:fldCharType="end"/>
            </w:r>
          </w:p>
          <w:p w:rsidR="00662ACD" w:rsidRPr="009D5C14" w:rsidRDefault="00662ACD" w:rsidP="00B27330">
            <w:pPr>
              <w:spacing w:before="40"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</w:tc>
      </w:tr>
      <w:tr w:rsidR="00B43644" w:rsidRPr="009D5C14" w:rsidTr="00B27330">
        <w:trPr>
          <w:trHeight w:val="649"/>
        </w:trPr>
        <w:tc>
          <w:tcPr>
            <w:tcW w:w="7172" w:type="dxa"/>
            <w:gridSpan w:val="2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Dokumentansvarliges navn og tittel: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Ragnhild Taarud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,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Kreftsykepleier med fagansvar,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Infusjonsenheten, Radiumhospita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let, </w:t>
            </w:r>
            <w:r w:rsidR="00C24B3E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Avdeling for kreftbehandling, </w:t>
            </w: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Kreftklinikken, OUS</w:t>
            </w:r>
          </w:p>
        </w:tc>
        <w:tc>
          <w:tcPr>
            <w:tcW w:w="1555" w:type="dxa"/>
            <w:gridSpan w:val="3"/>
          </w:tcPr>
          <w:p w:rsidR="00B43644" w:rsidRPr="009D5C14" w:rsidRDefault="00B43644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Telefonnr</w:t>
            </w:r>
            <w:proofErr w:type="spellEnd"/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.:</w:t>
            </w:r>
          </w:p>
          <w:p w:rsidR="00B43644" w:rsidRPr="009D5C14" w:rsidRDefault="00C24B3E" w:rsidP="00B27330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22935867</w:t>
            </w:r>
          </w:p>
        </w:tc>
        <w:tc>
          <w:tcPr>
            <w:tcW w:w="1695" w:type="dxa"/>
          </w:tcPr>
          <w:p w:rsidR="00B43644" w:rsidRPr="009D5C14" w:rsidRDefault="00B43644" w:rsidP="00B27330">
            <w:pPr>
              <w:tabs>
                <w:tab w:val="left" w:pos="1734"/>
              </w:tabs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9D5C14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Dato:</w:t>
            </w:r>
          </w:p>
          <w:p w:rsidR="00B43644" w:rsidRPr="009D5C14" w:rsidRDefault="000451AC" w:rsidP="00B27330">
            <w:pPr>
              <w:tabs>
                <w:tab w:val="left" w:pos="1734"/>
              </w:tabs>
              <w:spacing w:after="0" w:line="240" w:lineRule="auto"/>
              <w:ind w:left="108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15.08.2023</w:t>
            </w:r>
            <w:bookmarkStart w:id="2" w:name="_GoBack"/>
            <w:bookmarkEnd w:id="2"/>
          </w:p>
        </w:tc>
      </w:tr>
    </w:tbl>
    <w:p w:rsidR="00B43644" w:rsidRDefault="00B43644" w:rsidP="00B43644"/>
    <w:p w:rsidR="00A96754" w:rsidRDefault="000451AC"/>
    <w:sectPr w:rsidR="00A9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601"/>
    <w:multiLevelType w:val="hybridMultilevel"/>
    <w:tmpl w:val="9500A634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6500434"/>
    <w:multiLevelType w:val="hybridMultilevel"/>
    <w:tmpl w:val="C958D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44"/>
    <w:rsid w:val="000451AC"/>
    <w:rsid w:val="000F456F"/>
    <w:rsid w:val="0010346E"/>
    <w:rsid w:val="00184789"/>
    <w:rsid w:val="002342E0"/>
    <w:rsid w:val="002A5952"/>
    <w:rsid w:val="00335157"/>
    <w:rsid w:val="00475CBE"/>
    <w:rsid w:val="004D52AA"/>
    <w:rsid w:val="00591898"/>
    <w:rsid w:val="005C3F2F"/>
    <w:rsid w:val="00662653"/>
    <w:rsid w:val="00662ACD"/>
    <w:rsid w:val="00741A73"/>
    <w:rsid w:val="007B0DA8"/>
    <w:rsid w:val="007B1583"/>
    <w:rsid w:val="0080235C"/>
    <w:rsid w:val="00914734"/>
    <w:rsid w:val="009222E0"/>
    <w:rsid w:val="00983721"/>
    <w:rsid w:val="00994218"/>
    <w:rsid w:val="00A0443A"/>
    <w:rsid w:val="00B161FB"/>
    <w:rsid w:val="00B43644"/>
    <w:rsid w:val="00BC7B4F"/>
    <w:rsid w:val="00C15CCE"/>
    <w:rsid w:val="00C24B3E"/>
    <w:rsid w:val="00C4201E"/>
    <w:rsid w:val="00D0005A"/>
    <w:rsid w:val="00E44BFC"/>
    <w:rsid w:val="00E60A25"/>
    <w:rsid w:val="00EB7481"/>
    <w:rsid w:val="00ED4CE7"/>
    <w:rsid w:val="00EF6B44"/>
    <w:rsid w:val="00F07A32"/>
    <w:rsid w:val="00F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7628"/>
  <w15:chartTrackingRefBased/>
  <w15:docId w15:val="{012FC88A-4B7F-4C6D-B727-1AE49D5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handbok.ous-hf.no/Modules/Module_136/handbook_view.aspx?documentId=386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1653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Taarud</dc:creator>
  <cp:keywords/>
  <dc:description/>
  <cp:lastModifiedBy>Ragnhild Taarud</cp:lastModifiedBy>
  <cp:revision>4</cp:revision>
  <dcterms:created xsi:type="dcterms:W3CDTF">2023-08-15T08:12:00Z</dcterms:created>
  <dcterms:modified xsi:type="dcterms:W3CDTF">2023-08-15T11:46:00Z</dcterms:modified>
</cp:coreProperties>
</file>