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B5" w:rsidRDefault="00FD34B5" w:rsidP="00733C10">
      <w:bookmarkStart w:id="0" w:name="_GoBack"/>
      <w:bookmarkEnd w:id="0"/>
    </w:p>
    <w:p w:rsidR="00FD34B5" w:rsidRDefault="00FD34B5" w:rsidP="00733C10"/>
    <w:p w:rsidR="00FD34B5" w:rsidRDefault="00FD34B5" w:rsidP="00733C10"/>
    <w:p w:rsidR="00FD34B5" w:rsidRDefault="00FD34B5" w:rsidP="00733C10"/>
    <w:p w:rsidR="00FD34B5" w:rsidRDefault="00FD34B5" w:rsidP="00733C10">
      <w:pPr>
        <w:rPr>
          <w:rFonts w:ascii="Times New Roman" w:hAnsi="Times New Roman"/>
          <w:b/>
          <w:color w:val="0070C0"/>
          <w:sz w:val="32"/>
          <w:szCs w:val="32"/>
        </w:rPr>
      </w:pPr>
      <w:r w:rsidRPr="00FD34B5">
        <w:rPr>
          <w:rFonts w:ascii="Times New Roman" w:hAnsi="Times New Roman"/>
          <w:b/>
          <w:color w:val="0070C0"/>
          <w:sz w:val="32"/>
          <w:szCs w:val="32"/>
        </w:rPr>
        <w:t>Medikamentell behandling nyrekreft- generell oversikt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 -</w:t>
      </w:r>
      <w:r w:rsidRPr="00FD34B5">
        <w:rPr>
          <w:rFonts w:ascii="Times New Roman" w:hAnsi="Times New Roman"/>
          <w:b/>
          <w:color w:val="0070C0"/>
          <w:sz w:val="32"/>
          <w:szCs w:val="32"/>
        </w:rPr>
        <w:t>pasientinformasjon</w:t>
      </w:r>
    </w:p>
    <w:p w:rsidR="00FD34B5" w:rsidRPr="00FD34B5" w:rsidRDefault="00FD34B5" w:rsidP="00733C10">
      <w:pPr>
        <w:rPr>
          <w:rFonts w:ascii="Times New Roman" w:hAnsi="Times New Roman"/>
          <w:b/>
          <w:color w:val="0070C0"/>
          <w:sz w:val="32"/>
          <w:szCs w:val="32"/>
        </w:rPr>
      </w:pP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>Medikamentell behandling av nyrekreft er fortrinnsvis aktuelt ved sykdom som har gitt spredning og regnes som uhelbredelig</w:t>
      </w:r>
      <w:r w:rsidR="006443C2" w:rsidRPr="00FD34B5">
        <w:rPr>
          <w:rFonts w:ascii="Times New Roman" w:hAnsi="Times New Roman"/>
          <w:sz w:val="24"/>
          <w:szCs w:val="24"/>
        </w:rPr>
        <w:t>, men en del</w:t>
      </w:r>
      <w:r w:rsidR="00551C74" w:rsidRPr="00FD34B5">
        <w:rPr>
          <w:rFonts w:ascii="Times New Roman" w:hAnsi="Times New Roman"/>
          <w:sz w:val="24"/>
          <w:szCs w:val="24"/>
        </w:rPr>
        <w:t xml:space="preserve"> pasienter lever i flere år med syk</w:t>
      </w:r>
      <w:r w:rsidR="006443C2" w:rsidRPr="00FD34B5">
        <w:rPr>
          <w:rFonts w:ascii="Times New Roman" w:hAnsi="Times New Roman"/>
          <w:sz w:val="24"/>
          <w:szCs w:val="24"/>
        </w:rPr>
        <w:t>d</w:t>
      </w:r>
      <w:r w:rsidR="00551C74" w:rsidRPr="00FD34B5">
        <w:rPr>
          <w:rFonts w:ascii="Times New Roman" w:hAnsi="Times New Roman"/>
          <w:sz w:val="24"/>
          <w:szCs w:val="24"/>
        </w:rPr>
        <w:t>ommen under behandling</w:t>
      </w:r>
      <w:r w:rsidRPr="00FD34B5">
        <w:rPr>
          <w:rFonts w:ascii="Times New Roman" w:hAnsi="Times New Roman"/>
          <w:sz w:val="24"/>
          <w:szCs w:val="24"/>
        </w:rPr>
        <w:t>. Immunterapi er og godkjent (har markedsføringstillatelse) som tilleggsbehandling etter kirurgi for nyrekreft med høy / intermediær risiko for tilbakefall, men refunderes</w:t>
      </w:r>
      <w:r w:rsidR="00F10E35" w:rsidRPr="00FD34B5">
        <w:rPr>
          <w:rFonts w:ascii="Times New Roman" w:hAnsi="Times New Roman"/>
          <w:sz w:val="24"/>
          <w:szCs w:val="24"/>
        </w:rPr>
        <w:t xml:space="preserve"> foreløpig</w:t>
      </w:r>
      <w:r w:rsidRPr="00FD34B5">
        <w:rPr>
          <w:rFonts w:ascii="Times New Roman" w:hAnsi="Times New Roman"/>
          <w:sz w:val="24"/>
          <w:szCs w:val="24"/>
        </w:rPr>
        <w:t xml:space="preserve"> ikke av det offentlig</w:t>
      </w:r>
      <w:r w:rsidR="00F10E35" w:rsidRPr="00FD34B5">
        <w:rPr>
          <w:rFonts w:ascii="Times New Roman" w:hAnsi="Times New Roman"/>
          <w:sz w:val="24"/>
          <w:szCs w:val="24"/>
        </w:rPr>
        <w:t>e på den indikasjonen.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>Det skilles mellom den vanligste typen nyrekreft (</w:t>
      </w:r>
      <w:proofErr w:type="spellStart"/>
      <w:r w:rsidRPr="00FD34B5">
        <w:rPr>
          <w:rFonts w:ascii="Times New Roman" w:hAnsi="Times New Roman"/>
          <w:sz w:val="24"/>
          <w:szCs w:val="24"/>
        </w:rPr>
        <w:t>klarcellet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) og andre varianter (ikke </w:t>
      </w:r>
      <w:proofErr w:type="spellStart"/>
      <w:r w:rsidRPr="00FD34B5">
        <w:rPr>
          <w:rFonts w:ascii="Times New Roman" w:hAnsi="Times New Roman"/>
          <w:sz w:val="24"/>
          <w:szCs w:val="24"/>
        </w:rPr>
        <w:t>klarcellet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) i forhold til behandlingsvalg, men de fleste store studier (medikamentutprøvninger) er gjort med </w:t>
      </w:r>
      <w:proofErr w:type="spellStart"/>
      <w:r w:rsidRPr="00FD34B5">
        <w:rPr>
          <w:rFonts w:ascii="Times New Roman" w:hAnsi="Times New Roman"/>
          <w:sz w:val="24"/>
          <w:szCs w:val="24"/>
        </w:rPr>
        <w:t>klarcellet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 nyrekreft og behandlingsanbefalinger er derfor ofte påvirket av resultatene av disse studiene.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33C10" w:rsidRPr="000B493E" w:rsidRDefault="00733C10" w:rsidP="00FD34B5">
      <w:pPr>
        <w:spacing w:line="360" w:lineRule="auto"/>
        <w:rPr>
          <w:rFonts w:ascii="Cambria" w:hAnsi="Cambria"/>
          <w:b/>
          <w:color w:val="0070C0"/>
          <w:sz w:val="24"/>
          <w:szCs w:val="24"/>
        </w:rPr>
      </w:pPr>
      <w:r w:rsidRPr="000B493E">
        <w:rPr>
          <w:rFonts w:ascii="Cambria" w:hAnsi="Cambria"/>
          <w:b/>
          <w:color w:val="0070C0"/>
          <w:sz w:val="24"/>
          <w:szCs w:val="24"/>
        </w:rPr>
        <w:t>Situasjoner hvor medikamentell behandling er aktuelt ved nyrekreft:</w:t>
      </w:r>
    </w:p>
    <w:p w:rsidR="00733C10" w:rsidRPr="00FD34B5" w:rsidRDefault="00733C10" w:rsidP="00FD34B5">
      <w:pPr>
        <w:pStyle w:val="Listeavsnit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Sykdommen oppdages/debuterer med spredning (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metastastisk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sykdom)</w:t>
      </w:r>
    </w:p>
    <w:p w:rsidR="00733C10" w:rsidRPr="00FD34B5" w:rsidRDefault="00733C10" w:rsidP="00FD34B5">
      <w:pPr>
        <w:pStyle w:val="Listeavsnit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Tilbakefall med spredning (metastatisk sykdom) etter tidligere operasjon med fjerning av nyre</w:t>
      </w:r>
      <w:r w:rsidR="006443C2" w:rsidRPr="00FD34B5">
        <w:rPr>
          <w:rFonts w:ascii="Times New Roman" w:hAnsi="Times New Roman" w:cs="Times New Roman"/>
          <w:sz w:val="24"/>
          <w:szCs w:val="24"/>
        </w:rPr>
        <w:t>n med svulsten</w:t>
      </w:r>
      <w:r w:rsidRPr="00FD34B5">
        <w:rPr>
          <w:rFonts w:ascii="Times New Roman" w:hAnsi="Times New Roman" w:cs="Times New Roman"/>
          <w:sz w:val="24"/>
          <w:szCs w:val="24"/>
        </w:rPr>
        <w:t xml:space="preserve"> eller reseksjon (fjerning av svulsten</w:t>
      </w:r>
      <w:r w:rsidR="006443C2" w:rsidRPr="00FD34B5">
        <w:rPr>
          <w:rFonts w:ascii="Times New Roman" w:hAnsi="Times New Roman" w:cs="Times New Roman"/>
          <w:sz w:val="24"/>
          <w:szCs w:val="24"/>
        </w:rPr>
        <w:t xml:space="preserve"> i nyren</w:t>
      </w:r>
      <w:r w:rsidRPr="00FD34B5">
        <w:rPr>
          <w:rFonts w:ascii="Times New Roman" w:hAnsi="Times New Roman" w:cs="Times New Roman"/>
          <w:sz w:val="24"/>
          <w:szCs w:val="24"/>
        </w:rPr>
        <w:t>).</w:t>
      </w:r>
    </w:p>
    <w:p w:rsidR="00733C10" w:rsidRPr="00FD34B5" w:rsidRDefault="006443C2" w:rsidP="00FD34B5">
      <w:pPr>
        <w:pStyle w:val="Listeavsnit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Tilleggsbehandling etter kirurgi (fjerning av primærtumor i nyre)</w:t>
      </w:r>
      <w:r w:rsidR="00733C10" w:rsidRPr="00FD34B5">
        <w:rPr>
          <w:rFonts w:ascii="Times New Roman" w:hAnsi="Times New Roman" w:cs="Times New Roman"/>
          <w:sz w:val="24"/>
          <w:szCs w:val="24"/>
        </w:rPr>
        <w:t xml:space="preserve"> med høy/middels risiko for tilbakefall</w:t>
      </w:r>
    </w:p>
    <w:p w:rsidR="00733C10" w:rsidRPr="000B493E" w:rsidRDefault="00733C10" w:rsidP="00FD34B5">
      <w:pPr>
        <w:spacing w:line="360" w:lineRule="auto"/>
        <w:rPr>
          <w:rFonts w:ascii="Cambria" w:hAnsi="Cambria"/>
          <w:b/>
          <w:color w:val="0070C0"/>
          <w:sz w:val="24"/>
          <w:szCs w:val="24"/>
        </w:rPr>
      </w:pPr>
      <w:r w:rsidRPr="000B493E">
        <w:rPr>
          <w:rFonts w:ascii="Cambria" w:hAnsi="Cambria"/>
          <w:b/>
          <w:color w:val="0070C0"/>
          <w:sz w:val="24"/>
          <w:szCs w:val="24"/>
        </w:rPr>
        <w:t>Ad punkt 1 og 2:</w:t>
      </w:r>
    </w:p>
    <w:p w:rsidR="00F30C1A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 xml:space="preserve">Før behandling igangsettes ved nyrekreft med spredning er det nødvendig å </w:t>
      </w:r>
      <w:proofErr w:type="spellStart"/>
      <w:r w:rsidRPr="00FD34B5">
        <w:rPr>
          <w:rFonts w:ascii="Times New Roman" w:hAnsi="Times New Roman"/>
          <w:sz w:val="24"/>
          <w:szCs w:val="24"/>
        </w:rPr>
        <w:t>risikostratifisere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 (dele pasienter inn i grupper) med hensyn til prognose</w:t>
      </w:r>
      <w:r w:rsidR="00F10E35" w:rsidRPr="00FD34B5">
        <w:rPr>
          <w:rFonts w:ascii="Times New Roman" w:hAnsi="Times New Roman"/>
          <w:sz w:val="24"/>
          <w:szCs w:val="24"/>
        </w:rPr>
        <w:t xml:space="preserve">. Hvilken risiko/prognosegruppe man tilhører </w:t>
      </w:r>
      <w:r w:rsidRPr="00FD34B5">
        <w:rPr>
          <w:rFonts w:ascii="Times New Roman" w:hAnsi="Times New Roman"/>
          <w:sz w:val="24"/>
          <w:szCs w:val="24"/>
        </w:rPr>
        <w:t>har betydning for behandlingsvalg. Denne vurderingen gjøres av lege som vurderer hvilken medikam</w:t>
      </w:r>
      <w:r w:rsidR="00F10E35" w:rsidRPr="00FD34B5">
        <w:rPr>
          <w:rFonts w:ascii="Times New Roman" w:hAnsi="Times New Roman"/>
          <w:sz w:val="24"/>
          <w:szCs w:val="24"/>
        </w:rPr>
        <w:t xml:space="preserve">entell behandling som er aktuell for den enkelte pasient. I </w:t>
      </w:r>
      <w:r w:rsidRPr="00FD34B5">
        <w:rPr>
          <w:rFonts w:ascii="Times New Roman" w:hAnsi="Times New Roman"/>
          <w:sz w:val="24"/>
          <w:szCs w:val="24"/>
        </w:rPr>
        <w:t>noen tilfeller kan være aktuelt å observere tilstan</w:t>
      </w:r>
      <w:r w:rsidR="00F10E35" w:rsidRPr="00FD34B5">
        <w:rPr>
          <w:rFonts w:ascii="Times New Roman" w:hAnsi="Times New Roman"/>
          <w:sz w:val="24"/>
          <w:szCs w:val="24"/>
        </w:rPr>
        <w:t>den ubehandlet (</w:t>
      </w:r>
      <w:r w:rsidRPr="00FD34B5">
        <w:rPr>
          <w:rFonts w:ascii="Times New Roman" w:hAnsi="Times New Roman"/>
          <w:sz w:val="24"/>
          <w:szCs w:val="24"/>
        </w:rPr>
        <w:t xml:space="preserve">hos enkelte pasienter i god prognosegruppe). </w:t>
      </w:r>
    </w:p>
    <w:p w:rsidR="00F30C1A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 xml:space="preserve">I intermediær prognosegruppe eller dårlig prognosegruppe vil man vanligvis anbefale oppstart medisinsk onkologisk behandling umiddelbart (vanligvis innen uker etter at utredningen er fullført).  Som sammenligningsgrunnlag for å vurdere effekten av behandlingen brukes som oftest regelmessige </w:t>
      </w:r>
      <w:r w:rsidR="006443C2" w:rsidRPr="00FD34B5">
        <w:rPr>
          <w:rFonts w:ascii="Times New Roman" w:hAnsi="Times New Roman"/>
          <w:sz w:val="24"/>
          <w:szCs w:val="24"/>
        </w:rPr>
        <w:t xml:space="preserve">billeddundersøkelser </w:t>
      </w:r>
      <w:r w:rsidRPr="00FD34B5">
        <w:rPr>
          <w:rFonts w:ascii="Times New Roman" w:hAnsi="Times New Roman"/>
          <w:sz w:val="24"/>
          <w:szCs w:val="24"/>
        </w:rPr>
        <w:t>CT (</w:t>
      </w:r>
      <w:proofErr w:type="spellStart"/>
      <w:r w:rsidRPr="00FD34B5">
        <w:rPr>
          <w:rFonts w:ascii="Times New Roman" w:hAnsi="Times New Roman"/>
          <w:sz w:val="24"/>
          <w:szCs w:val="24"/>
        </w:rPr>
        <w:t>ComputerTomografi</w:t>
      </w:r>
      <w:proofErr w:type="spellEnd"/>
      <w:r w:rsidRPr="00FD34B5">
        <w:rPr>
          <w:rFonts w:ascii="Times New Roman" w:hAnsi="Times New Roman"/>
          <w:sz w:val="24"/>
          <w:szCs w:val="24"/>
        </w:rPr>
        <w:t>)</w:t>
      </w:r>
      <w:r w:rsidR="006443C2" w:rsidRPr="00FD34B5">
        <w:rPr>
          <w:rFonts w:ascii="Times New Roman" w:hAnsi="Times New Roman"/>
          <w:sz w:val="24"/>
          <w:szCs w:val="24"/>
        </w:rPr>
        <w:t xml:space="preserve"> </w:t>
      </w:r>
      <w:r w:rsidRPr="00FD34B5">
        <w:rPr>
          <w:rFonts w:ascii="Times New Roman" w:hAnsi="Times New Roman"/>
          <w:sz w:val="24"/>
          <w:szCs w:val="24"/>
        </w:rPr>
        <w:t>eller i noen tilfell</w:t>
      </w:r>
      <w:r w:rsidR="006443C2" w:rsidRPr="00FD34B5">
        <w:rPr>
          <w:rFonts w:ascii="Times New Roman" w:hAnsi="Times New Roman"/>
          <w:sz w:val="24"/>
          <w:szCs w:val="24"/>
        </w:rPr>
        <w:t>er MR (Magnet Resonans Tomografi)</w:t>
      </w:r>
      <w:r w:rsidRPr="00FD34B5">
        <w:rPr>
          <w:rFonts w:ascii="Times New Roman" w:hAnsi="Times New Roman"/>
          <w:sz w:val="24"/>
          <w:szCs w:val="24"/>
        </w:rPr>
        <w:t xml:space="preserve"> eller PET CT (Positron Emisjons Tomografi – CT). </w:t>
      </w:r>
    </w:p>
    <w:p w:rsidR="00F30C1A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 xml:space="preserve">Hyppigere tas blodprøver og klinisk undersøkelse for å følge med på eventuelle bi-virkninger av behandlingen som kan oppstå underveis. Når behandling er igangsatt vil man vanligvis </w:t>
      </w:r>
    </w:p>
    <w:p w:rsidR="00F30C1A" w:rsidRDefault="00F30C1A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0C1A" w:rsidRDefault="00F30C1A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>fortsette med denne til effekten av behandlingen avtar / slutter å virke (sykdomsprogresjon) eller til det oppstår uakseptable bivirkninger.  De fleste som mottar slik behandling vil oppleve å bytte behandling opptil flere ganger som følge av dette – og det kan være aktuelt med behandlingspauser i kortere eller lengre perioder – alt avhengig av sykdomsutviklingen og grad av bivirkninger. Noen ganger vil dosen måtte justeres (reduseres) slik at graden av bivirkninger er på et nivå som er akseptabelt.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 xml:space="preserve">Som første behandlingslinje (1. behandlingsalternativ) ved </w:t>
      </w:r>
      <w:proofErr w:type="spellStart"/>
      <w:r w:rsidRPr="00FD34B5">
        <w:rPr>
          <w:rFonts w:ascii="Times New Roman" w:hAnsi="Times New Roman"/>
          <w:sz w:val="24"/>
          <w:szCs w:val="24"/>
        </w:rPr>
        <w:t>klarcellet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 nyrekreft med spredning er det etter dagens standard </w:t>
      </w:r>
      <w:r w:rsidR="006443C2" w:rsidRPr="00FD34B5">
        <w:rPr>
          <w:rFonts w:ascii="Times New Roman" w:hAnsi="Times New Roman"/>
          <w:sz w:val="24"/>
          <w:szCs w:val="24"/>
        </w:rPr>
        <w:t xml:space="preserve">stort sett </w:t>
      </w:r>
      <w:r w:rsidRPr="00FD34B5">
        <w:rPr>
          <w:rFonts w:ascii="Times New Roman" w:hAnsi="Times New Roman"/>
          <w:sz w:val="24"/>
          <w:szCs w:val="24"/>
        </w:rPr>
        <w:t>alltid anbefalt å gi kombinasjonsbehandling da det har vist å være mer effektivt og bedrer overlevelsen i forhold til behandling med enkeltmedikament (monoterapi).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 xml:space="preserve">Hvilken kombinasjonsbehandling som er aktuelt for den enkelte pasient avhenger av flere faktorer; bl.a. hvilken prognosegruppe sykdommen tilhører og </w:t>
      </w:r>
      <w:r w:rsidR="006443C2" w:rsidRPr="00FD34B5">
        <w:rPr>
          <w:rFonts w:ascii="Times New Roman" w:hAnsi="Times New Roman"/>
          <w:sz w:val="24"/>
          <w:szCs w:val="24"/>
        </w:rPr>
        <w:t xml:space="preserve">eventuelle </w:t>
      </w:r>
      <w:r w:rsidRPr="00FD34B5">
        <w:rPr>
          <w:rFonts w:ascii="Times New Roman" w:hAnsi="Times New Roman"/>
          <w:sz w:val="24"/>
          <w:szCs w:val="24"/>
        </w:rPr>
        <w:t xml:space="preserve">tilleggs sykdommer hos den enkelte pasient. 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33C10" w:rsidRPr="000B493E" w:rsidRDefault="00733C10" w:rsidP="00FD34B5">
      <w:pPr>
        <w:spacing w:line="360" w:lineRule="auto"/>
        <w:rPr>
          <w:rFonts w:ascii="Cambria" w:hAnsi="Cambria"/>
          <w:b/>
          <w:color w:val="0070C0"/>
          <w:sz w:val="24"/>
          <w:szCs w:val="24"/>
        </w:rPr>
      </w:pPr>
      <w:r w:rsidRPr="000B493E">
        <w:rPr>
          <w:rFonts w:ascii="Cambria" w:hAnsi="Cambria"/>
          <w:b/>
          <w:color w:val="0070C0"/>
          <w:sz w:val="24"/>
          <w:szCs w:val="24"/>
        </w:rPr>
        <w:t>Det er to hovedprinsipper med kombinasjonsbehandling:</w:t>
      </w:r>
    </w:p>
    <w:p w:rsidR="00733C10" w:rsidRPr="00FD34B5" w:rsidRDefault="00733C10" w:rsidP="00FD34B5">
      <w:pPr>
        <w:pStyle w:val="Listeavsnit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To immunterapimedikamenter (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sjekkpunkthemmere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Ipilimumab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Yervoy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) – CTLA 4 hemmer og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Nivolumab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Opdivo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>) – PD-1 hemmer - 4 kurer med kombinasjon</w:t>
      </w:r>
      <w:r w:rsidR="00F10E35" w:rsidRPr="00FD34B5">
        <w:rPr>
          <w:rFonts w:ascii="Times New Roman" w:hAnsi="Times New Roman" w:cs="Times New Roman"/>
          <w:sz w:val="24"/>
          <w:szCs w:val="24"/>
        </w:rPr>
        <w:t>en (med 3 ukers intervall)</w:t>
      </w:r>
      <w:r w:rsidRPr="00FD34B5">
        <w:rPr>
          <w:rFonts w:ascii="Times New Roman" w:hAnsi="Times New Roman" w:cs="Times New Roman"/>
          <w:sz w:val="24"/>
          <w:szCs w:val="24"/>
        </w:rPr>
        <w:t xml:space="preserve"> og deretter vedlikehold </w:t>
      </w:r>
      <w:r w:rsidR="006443C2" w:rsidRPr="00FD34B5">
        <w:rPr>
          <w:rFonts w:ascii="Times New Roman" w:hAnsi="Times New Roman" w:cs="Times New Roman"/>
          <w:sz w:val="24"/>
          <w:szCs w:val="24"/>
        </w:rPr>
        <w:t xml:space="preserve">med </w:t>
      </w:r>
      <w:proofErr w:type="spellStart"/>
      <w:r w:rsidR="006443C2" w:rsidRPr="00FD34B5">
        <w:rPr>
          <w:rFonts w:ascii="Times New Roman" w:hAnsi="Times New Roman" w:cs="Times New Roman"/>
          <w:sz w:val="24"/>
          <w:szCs w:val="24"/>
        </w:rPr>
        <w:t>Nivolumab</w:t>
      </w:r>
      <w:proofErr w:type="spellEnd"/>
      <w:r w:rsidR="006443C2" w:rsidRPr="00FD34B5">
        <w:rPr>
          <w:rFonts w:ascii="Times New Roman" w:hAnsi="Times New Roman" w:cs="Times New Roman"/>
          <w:sz w:val="24"/>
          <w:szCs w:val="24"/>
        </w:rPr>
        <w:t>. (</w:t>
      </w:r>
      <w:r w:rsidRPr="00FD34B5">
        <w:rPr>
          <w:rFonts w:ascii="Times New Roman" w:hAnsi="Times New Roman" w:cs="Times New Roman"/>
          <w:sz w:val="24"/>
          <w:szCs w:val="24"/>
        </w:rPr>
        <w:t>Denne kombinasjonen kun aktuell for intermediær og dårlig prognosegruppe).</w:t>
      </w:r>
    </w:p>
    <w:p w:rsidR="00733C10" w:rsidRPr="00FD34B5" w:rsidRDefault="00733C10" w:rsidP="00FD34B5">
      <w:pPr>
        <w:pStyle w:val="Listeavsnit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Ett immunterapimedikament (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sjekkpunkthemmer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) PD-1 hemmer – enten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Nivolumab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Opdivo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) eller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Pembrolizumab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Keytruda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>) kombinert med en TKI (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Tyrosinkinasehemmer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signalveishemmer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>)) (tablettbehandlin</w:t>
      </w:r>
      <w:r w:rsidR="00F10E35" w:rsidRPr="00FD34B5">
        <w:rPr>
          <w:rFonts w:ascii="Times New Roman" w:hAnsi="Times New Roman" w:cs="Times New Roman"/>
          <w:sz w:val="24"/>
          <w:szCs w:val="24"/>
        </w:rPr>
        <w:t xml:space="preserve">g) – enten </w:t>
      </w:r>
      <w:proofErr w:type="spellStart"/>
      <w:r w:rsidR="00F10E35" w:rsidRPr="00FD34B5">
        <w:rPr>
          <w:rFonts w:ascii="Times New Roman" w:hAnsi="Times New Roman" w:cs="Times New Roman"/>
          <w:sz w:val="24"/>
          <w:szCs w:val="24"/>
        </w:rPr>
        <w:t>Aksitinib</w:t>
      </w:r>
      <w:proofErr w:type="spellEnd"/>
      <w:r w:rsidR="00F10E35" w:rsidRPr="00FD3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0E35" w:rsidRPr="00FD34B5">
        <w:rPr>
          <w:rFonts w:ascii="Times New Roman" w:hAnsi="Times New Roman" w:cs="Times New Roman"/>
          <w:sz w:val="24"/>
          <w:szCs w:val="24"/>
        </w:rPr>
        <w:t>Inlyta</w:t>
      </w:r>
      <w:proofErr w:type="spellEnd"/>
      <w:r w:rsidR="00F10E35" w:rsidRPr="00FD34B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Cabozantinib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Cabometyx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) eller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Lenvatinib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Kisplyx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). De aktuelle kombinasjonene er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Cabozantinib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Nivolumab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eller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Aksitinib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Pembrolizumab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eller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Lenvatinib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Pembrolizumab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 xml:space="preserve">Noen ganger – hos pasienter som ikke kan få eller ikke tåler immunterapi vil behandling med enkeltmedikament være aktuelt i 1. linje (som 1. behandlingsalternativ) – Da som oftest </w:t>
      </w:r>
      <w:proofErr w:type="spellStart"/>
      <w:r w:rsidRPr="00FD34B5">
        <w:rPr>
          <w:rFonts w:ascii="Times New Roman" w:hAnsi="Times New Roman"/>
          <w:sz w:val="24"/>
          <w:szCs w:val="24"/>
        </w:rPr>
        <w:t>Tyrosinkinase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 hemmer (</w:t>
      </w:r>
      <w:proofErr w:type="spellStart"/>
      <w:r w:rsidRPr="00FD34B5">
        <w:rPr>
          <w:rFonts w:ascii="Times New Roman" w:hAnsi="Times New Roman"/>
          <w:sz w:val="24"/>
          <w:szCs w:val="24"/>
        </w:rPr>
        <w:t>signalveishemmer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). I slike tilfeller brukes som oftest </w:t>
      </w:r>
      <w:proofErr w:type="spellStart"/>
      <w:r w:rsidRPr="00FD34B5">
        <w:rPr>
          <w:rFonts w:ascii="Times New Roman" w:hAnsi="Times New Roman"/>
          <w:sz w:val="24"/>
          <w:szCs w:val="24"/>
        </w:rPr>
        <w:t>Sunitinib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34B5">
        <w:rPr>
          <w:rFonts w:ascii="Times New Roman" w:hAnsi="Times New Roman"/>
          <w:sz w:val="24"/>
          <w:szCs w:val="24"/>
        </w:rPr>
        <w:t>Sutent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) eller </w:t>
      </w:r>
      <w:proofErr w:type="spellStart"/>
      <w:r w:rsidRPr="00FD34B5">
        <w:rPr>
          <w:rFonts w:ascii="Times New Roman" w:hAnsi="Times New Roman"/>
          <w:sz w:val="24"/>
          <w:szCs w:val="24"/>
        </w:rPr>
        <w:t>Pazopanib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34B5">
        <w:rPr>
          <w:rFonts w:ascii="Times New Roman" w:hAnsi="Times New Roman"/>
          <w:sz w:val="24"/>
          <w:szCs w:val="24"/>
        </w:rPr>
        <w:t>Votrient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). 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0C1A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 xml:space="preserve">Videre behandling etter sykdomsprogresjon (2. og 3. linjes behandling) vil dels avhenge av hvilken behandling som ble gitt i 1. linje (og 2.linje), effekten/bivirkninger av den og også </w:t>
      </w:r>
    </w:p>
    <w:p w:rsidR="00F30C1A" w:rsidRDefault="00F30C1A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0C1A" w:rsidRDefault="00F30C1A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>andre sykdommer hos den enkelte pasient. Noen pasienter får behandling med mer enn 3 linjers behandling, men etter 2 og 3. linjes behandling er behandlingsanbefalingene mer usikre.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33C10" w:rsidRPr="000B493E" w:rsidRDefault="00733C10" w:rsidP="00FD34B5">
      <w:pPr>
        <w:spacing w:line="360" w:lineRule="auto"/>
        <w:rPr>
          <w:rFonts w:ascii="Cambria" w:hAnsi="Cambria"/>
          <w:b/>
          <w:color w:val="0070C0"/>
          <w:sz w:val="24"/>
          <w:szCs w:val="24"/>
        </w:rPr>
      </w:pPr>
      <w:r w:rsidRPr="000B493E">
        <w:rPr>
          <w:rFonts w:ascii="Cambria" w:hAnsi="Cambria"/>
          <w:b/>
          <w:color w:val="0070C0"/>
          <w:sz w:val="24"/>
          <w:szCs w:val="24"/>
        </w:rPr>
        <w:t>Ad punkt 3:</w:t>
      </w:r>
    </w:p>
    <w:p w:rsidR="00F30C1A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 xml:space="preserve">Det er dokumentasjon på at flere typer medikamentell behandling som tillegg til kirurgi reduserer risiko for tilbakefall ved nyrekreft etter operasjon. Spesielt aktuelt er det for immunterapi med medikamentet </w:t>
      </w:r>
      <w:proofErr w:type="spellStart"/>
      <w:r w:rsidRPr="00FD34B5">
        <w:rPr>
          <w:rFonts w:ascii="Times New Roman" w:hAnsi="Times New Roman"/>
          <w:sz w:val="24"/>
          <w:szCs w:val="24"/>
        </w:rPr>
        <w:t>pembrolizumab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34B5">
        <w:rPr>
          <w:rFonts w:ascii="Times New Roman" w:hAnsi="Times New Roman"/>
          <w:sz w:val="24"/>
          <w:szCs w:val="24"/>
        </w:rPr>
        <w:t>Keytruda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) gitt som iv. infusjon hver 3. uke i ett år. Dette medikamentet har fått markedsføringstillatelse på denne indikasjonen i USA/EU og Norge, men foreløpig ikke refundert av de offentlige helseforetakene. 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 xml:space="preserve">Det er foreløpig heller ikke tatt inn i de Norske retningslinjer </w:t>
      </w:r>
      <w:r w:rsidR="006443C2" w:rsidRPr="00FD34B5">
        <w:rPr>
          <w:rFonts w:ascii="Times New Roman" w:hAnsi="Times New Roman"/>
          <w:sz w:val="24"/>
          <w:szCs w:val="24"/>
        </w:rPr>
        <w:t xml:space="preserve">(anbefalinger) </w:t>
      </w:r>
      <w:r w:rsidRPr="00FD34B5">
        <w:rPr>
          <w:rFonts w:ascii="Times New Roman" w:hAnsi="Times New Roman"/>
          <w:sz w:val="24"/>
          <w:szCs w:val="24"/>
        </w:rPr>
        <w:t xml:space="preserve">for behandling av nyrekreft. Bakgrunnen for dette er at dataene for totaloverlevelse ikke har lang nok oppfølgingstid til at man kan vise en sikker effekt på dette </w:t>
      </w:r>
      <w:proofErr w:type="spellStart"/>
      <w:r w:rsidRPr="00FD34B5">
        <w:rPr>
          <w:rFonts w:ascii="Times New Roman" w:hAnsi="Times New Roman"/>
          <w:sz w:val="24"/>
          <w:szCs w:val="24"/>
        </w:rPr>
        <w:t>måleparameteret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. 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33C10" w:rsidRPr="0029789A" w:rsidRDefault="00733C10" w:rsidP="00FD34B5">
      <w:pPr>
        <w:spacing w:line="360" w:lineRule="auto"/>
        <w:rPr>
          <w:rFonts w:ascii="Cambria" w:hAnsi="Cambria"/>
          <w:b/>
          <w:color w:val="0070C0"/>
          <w:sz w:val="24"/>
          <w:szCs w:val="24"/>
        </w:rPr>
      </w:pPr>
      <w:r w:rsidRPr="0029789A">
        <w:rPr>
          <w:rFonts w:ascii="Cambria" w:hAnsi="Cambria"/>
          <w:b/>
          <w:color w:val="0070C0"/>
          <w:sz w:val="24"/>
          <w:szCs w:val="24"/>
        </w:rPr>
        <w:t>Bivirkninger av behandling: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 xml:space="preserve">For bivirkninger av immunterapi og håndtering av disse vises det til egne skriv. (dokumenter: immunterapi i kreftbehandling- pasientinformasjon, PD-1 og PD-L1 hemmer -pasientinformasjon). </w:t>
      </w:r>
    </w:p>
    <w:p w:rsidR="006443C2" w:rsidRPr="00FD34B5" w:rsidRDefault="006443C2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0C1A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 xml:space="preserve">For bivirkninger av </w:t>
      </w:r>
      <w:proofErr w:type="spellStart"/>
      <w:r w:rsidRPr="00FD34B5">
        <w:rPr>
          <w:rFonts w:ascii="Times New Roman" w:hAnsi="Times New Roman"/>
          <w:sz w:val="24"/>
          <w:szCs w:val="24"/>
        </w:rPr>
        <w:t>Tyrosinkinasehemmere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34B5">
        <w:rPr>
          <w:rFonts w:ascii="Times New Roman" w:hAnsi="Times New Roman"/>
          <w:sz w:val="24"/>
          <w:szCs w:val="24"/>
        </w:rPr>
        <w:t>signalveishemmere</w:t>
      </w:r>
      <w:proofErr w:type="spellEnd"/>
      <w:r w:rsidRPr="00FD34B5">
        <w:rPr>
          <w:rFonts w:ascii="Times New Roman" w:hAnsi="Times New Roman"/>
          <w:sz w:val="24"/>
          <w:szCs w:val="24"/>
        </w:rPr>
        <w:t>) er disse dels overlappende med bivirkninge</w:t>
      </w:r>
      <w:r w:rsidR="007D6193" w:rsidRPr="00FD34B5">
        <w:rPr>
          <w:rFonts w:ascii="Times New Roman" w:hAnsi="Times New Roman"/>
          <w:sz w:val="24"/>
          <w:szCs w:val="24"/>
        </w:rPr>
        <w:t>r fra immunterapi i noen grad (dvs. begge behandlingsmetodene</w:t>
      </w:r>
      <w:r w:rsidRPr="00FD34B5">
        <w:rPr>
          <w:rFonts w:ascii="Times New Roman" w:hAnsi="Times New Roman"/>
          <w:sz w:val="24"/>
          <w:szCs w:val="24"/>
        </w:rPr>
        <w:t xml:space="preserve"> kan gi bivirkninger som ligner hverandre og det kan være vanskelig å avgjøre hvilket medikament som er ansvarlig – eks. diare, stoffskifteproblemer, hudutslett osv.) – Det viktigste </w:t>
      </w:r>
      <w:r w:rsidR="006443C2" w:rsidRPr="00FD34B5">
        <w:rPr>
          <w:rFonts w:ascii="Times New Roman" w:hAnsi="Times New Roman"/>
          <w:sz w:val="24"/>
          <w:szCs w:val="24"/>
        </w:rPr>
        <w:t xml:space="preserve">er at du gir beskjed til legen </w:t>
      </w:r>
      <w:r w:rsidRPr="00FD34B5">
        <w:rPr>
          <w:rFonts w:ascii="Times New Roman" w:hAnsi="Times New Roman"/>
          <w:sz w:val="24"/>
          <w:szCs w:val="24"/>
        </w:rPr>
        <w:t xml:space="preserve">/ sykepleier som er ansvarlig for oppfølging og behandling slik at man kan gjøre tiltak for å minimere risikoen for at bivirkninger skal utvikle seg til å bli farlige eller at man kan gjøre justeringer slik at man slipper lengre opphold i behandlingen. </w:t>
      </w:r>
    </w:p>
    <w:p w:rsidR="00F30C1A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>Som hovedprinsipp er bivirkningene av TKI behandlingen doseavhengig – dvs. jo høyere dose – jo mer uttalte bivirkninger. De</w:t>
      </w:r>
      <w:r w:rsidR="007D6193" w:rsidRPr="00FD34B5">
        <w:rPr>
          <w:rFonts w:ascii="Times New Roman" w:hAnsi="Times New Roman"/>
          <w:sz w:val="24"/>
          <w:szCs w:val="24"/>
        </w:rPr>
        <w:t>rfor vil dosejustering / pa</w:t>
      </w:r>
      <w:r w:rsidRPr="00FD34B5">
        <w:rPr>
          <w:rFonts w:ascii="Times New Roman" w:hAnsi="Times New Roman"/>
          <w:sz w:val="24"/>
          <w:szCs w:val="24"/>
        </w:rPr>
        <w:t>use ofte gjøre at bivirkningene reduseres. Disse legemidlene omsettes</w:t>
      </w:r>
      <w:r w:rsidR="00F30C1A">
        <w:rPr>
          <w:rFonts w:ascii="Times New Roman" w:hAnsi="Times New Roman"/>
          <w:sz w:val="24"/>
          <w:szCs w:val="24"/>
        </w:rPr>
        <w:t xml:space="preserve"> </w:t>
      </w:r>
      <w:r w:rsidRPr="00FD34B5">
        <w:rPr>
          <w:rFonts w:ascii="Times New Roman" w:hAnsi="Times New Roman"/>
          <w:sz w:val="24"/>
          <w:szCs w:val="24"/>
        </w:rPr>
        <w:t>(</w:t>
      </w:r>
      <w:proofErr w:type="spellStart"/>
      <w:r w:rsidRPr="00FD34B5">
        <w:rPr>
          <w:rFonts w:ascii="Times New Roman" w:hAnsi="Times New Roman"/>
          <w:sz w:val="24"/>
          <w:szCs w:val="24"/>
        </w:rPr>
        <w:t>metaboliseres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) forskjellig fra individ til individ og derfor vil ofte en dose som har god effekt og tolereres godt hos en pasient ikke være mulig å bruke for en annen pasient – og dosen må derfor individualiseres. </w:t>
      </w:r>
    </w:p>
    <w:p w:rsidR="00F30C1A" w:rsidRDefault="00F30C1A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0C1A" w:rsidRDefault="00F30C1A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0C1A" w:rsidRDefault="00F30C1A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0C1A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>Man begynner gjerne med fast dose og justerer etter hvert som man ser hvilke og i hvilken</w:t>
      </w:r>
      <w:r w:rsidR="0027718E">
        <w:rPr>
          <w:rFonts w:ascii="Times New Roman" w:hAnsi="Times New Roman"/>
          <w:sz w:val="24"/>
          <w:szCs w:val="24"/>
        </w:rPr>
        <w:t xml:space="preserve"> grad bivirkninger utvikler seg.</w:t>
      </w:r>
    </w:p>
    <w:p w:rsidR="00F30C1A" w:rsidRDefault="00F30C1A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>De forskjellige medikamentene (</w:t>
      </w:r>
      <w:proofErr w:type="spellStart"/>
      <w:r w:rsidRPr="00FD34B5">
        <w:rPr>
          <w:rFonts w:ascii="Times New Roman" w:hAnsi="Times New Roman"/>
          <w:sz w:val="24"/>
          <w:szCs w:val="24"/>
        </w:rPr>
        <w:t>Signalveishemmere</w:t>
      </w:r>
      <w:proofErr w:type="spellEnd"/>
      <w:r w:rsidRPr="00FD34B5">
        <w:rPr>
          <w:rFonts w:ascii="Times New Roman" w:hAnsi="Times New Roman"/>
          <w:sz w:val="24"/>
          <w:szCs w:val="24"/>
        </w:rPr>
        <w:t>) som brukes enten som enkeltmedikament eller i kombinasjon med immunterapi er listet nedenfor: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34B5">
        <w:rPr>
          <w:rFonts w:ascii="Times New Roman" w:hAnsi="Times New Roman"/>
          <w:sz w:val="24"/>
          <w:szCs w:val="24"/>
          <w:lang w:val="en-US"/>
        </w:rPr>
        <w:t>Aksitinib</w:t>
      </w:r>
      <w:proofErr w:type="spellEnd"/>
      <w:r w:rsidRPr="00FD34B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FD34B5">
        <w:rPr>
          <w:rFonts w:ascii="Times New Roman" w:hAnsi="Times New Roman"/>
          <w:sz w:val="24"/>
          <w:szCs w:val="24"/>
          <w:lang w:val="en-US"/>
        </w:rPr>
        <w:t>Inlyta</w:t>
      </w:r>
      <w:proofErr w:type="spellEnd"/>
      <w:r w:rsidRPr="00FD34B5">
        <w:rPr>
          <w:rFonts w:ascii="Times New Roman" w:hAnsi="Times New Roman"/>
          <w:sz w:val="24"/>
          <w:szCs w:val="24"/>
          <w:lang w:val="en-US"/>
        </w:rPr>
        <w:t>)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34B5">
        <w:rPr>
          <w:rFonts w:ascii="Times New Roman" w:hAnsi="Times New Roman"/>
          <w:sz w:val="24"/>
          <w:szCs w:val="24"/>
          <w:lang w:val="en-US"/>
        </w:rPr>
        <w:t>Cabozantinib</w:t>
      </w:r>
      <w:proofErr w:type="spellEnd"/>
      <w:r w:rsidRPr="00FD34B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FD34B5">
        <w:rPr>
          <w:rFonts w:ascii="Times New Roman" w:hAnsi="Times New Roman"/>
          <w:sz w:val="24"/>
          <w:szCs w:val="24"/>
          <w:lang w:val="en-US"/>
        </w:rPr>
        <w:t>Cabo</w:t>
      </w:r>
      <w:r w:rsidR="0027718E">
        <w:rPr>
          <w:rFonts w:ascii="Times New Roman" w:hAnsi="Times New Roman"/>
          <w:sz w:val="24"/>
          <w:szCs w:val="24"/>
          <w:lang w:val="en-US"/>
        </w:rPr>
        <w:t>.</w:t>
      </w:r>
      <w:r w:rsidRPr="00FD34B5">
        <w:rPr>
          <w:rFonts w:ascii="Times New Roman" w:hAnsi="Times New Roman"/>
          <w:sz w:val="24"/>
          <w:szCs w:val="24"/>
          <w:lang w:val="en-US"/>
        </w:rPr>
        <w:t>metyx</w:t>
      </w:r>
      <w:proofErr w:type="spellEnd"/>
      <w:r w:rsidRPr="00FD34B5">
        <w:rPr>
          <w:rFonts w:ascii="Times New Roman" w:hAnsi="Times New Roman"/>
          <w:sz w:val="24"/>
          <w:szCs w:val="24"/>
          <w:lang w:val="en-US"/>
        </w:rPr>
        <w:t>)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34B5">
        <w:rPr>
          <w:rFonts w:ascii="Times New Roman" w:hAnsi="Times New Roman"/>
          <w:sz w:val="24"/>
          <w:szCs w:val="24"/>
          <w:lang w:val="en-US"/>
        </w:rPr>
        <w:t>Sunitinib</w:t>
      </w:r>
      <w:proofErr w:type="spellEnd"/>
      <w:r w:rsidRPr="00FD34B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FD34B5">
        <w:rPr>
          <w:rFonts w:ascii="Times New Roman" w:hAnsi="Times New Roman"/>
          <w:sz w:val="24"/>
          <w:szCs w:val="24"/>
          <w:lang w:val="en-US"/>
        </w:rPr>
        <w:t>Sutent</w:t>
      </w:r>
      <w:proofErr w:type="spellEnd"/>
      <w:r w:rsidRPr="00FD34B5">
        <w:rPr>
          <w:rFonts w:ascii="Times New Roman" w:hAnsi="Times New Roman"/>
          <w:sz w:val="24"/>
          <w:szCs w:val="24"/>
          <w:lang w:val="en-US"/>
        </w:rPr>
        <w:t>)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34B5">
        <w:rPr>
          <w:rFonts w:ascii="Times New Roman" w:hAnsi="Times New Roman"/>
          <w:sz w:val="24"/>
          <w:szCs w:val="24"/>
          <w:lang w:val="en-US"/>
        </w:rPr>
        <w:t>Pazopanib</w:t>
      </w:r>
      <w:proofErr w:type="spellEnd"/>
      <w:r w:rsidRPr="00FD34B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FD34B5">
        <w:rPr>
          <w:rFonts w:ascii="Times New Roman" w:hAnsi="Times New Roman"/>
          <w:sz w:val="24"/>
          <w:szCs w:val="24"/>
          <w:lang w:val="en-US"/>
        </w:rPr>
        <w:t>Votient</w:t>
      </w:r>
      <w:proofErr w:type="spellEnd"/>
      <w:r w:rsidRPr="00FD34B5">
        <w:rPr>
          <w:rFonts w:ascii="Times New Roman" w:hAnsi="Times New Roman"/>
          <w:sz w:val="24"/>
          <w:szCs w:val="24"/>
          <w:lang w:val="en-US"/>
        </w:rPr>
        <w:t>)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34B5">
        <w:rPr>
          <w:rFonts w:ascii="Times New Roman" w:hAnsi="Times New Roman"/>
          <w:sz w:val="24"/>
          <w:szCs w:val="24"/>
          <w:lang w:val="en-US"/>
        </w:rPr>
        <w:t>Lenvatinib</w:t>
      </w:r>
      <w:proofErr w:type="spellEnd"/>
      <w:r w:rsidRPr="00FD3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D34B5">
        <w:rPr>
          <w:rFonts w:ascii="Times New Roman" w:hAnsi="Times New Roman"/>
          <w:sz w:val="24"/>
          <w:szCs w:val="24"/>
          <w:lang w:val="en-US"/>
        </w:rPr>
        <w:t xml:space="preserve">( </w:t>
      </w:r>
      <w:proofErr w:type="spellStart"/>
      <w:r w:rsidRPr="00FD34B5">
        <w:rPr>
          <w:rFonts w:ascii="Times New Roman" w:hAnsi="Times New Roman"/>
          <w:sz w:val="24"/>
          <w:szCs w:val="24"/>
          <w:lang w:val="en-US"/>
        </w:rPr>
        <w:t>Kisplyx</w:t>
      </w:r>
      <w:proofErr w:type="spellEnd"/>
      <w:proofErr w:type="gramEnd"/>
      <w:r w:rsidRPr="00FD34B5">
        <w:rPr>
          <w:rFonts w:ascii="Times New Roman" w:hAnsi="Times New Roman"/>
          <w:sz w:val="24"/>
          <w:szCs w:val="24"/>
          <w:lang w:val="en-US"/>
        </w:rPr>
        <w:t>)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34B5">
        <w:rPr>
          <w:rFonts w:ascii="Times New Roman" w:hAnsi="Times New Roman"/>
          <w:sz w:val="24"/>
          <w:szCs w:val="24"/>
          <w:lang w:val="en-US"/>
        </w:rPr>
        <w:t>Sorafeninb</w:t>
      </w:r>
      <w:proofErr w:type="spellEnd"/>
      <w:r w:rsidRPr="00FD34B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FD34B5">
        <w:rPr>
          <w:rFonts w:ascii="Times New Roman" w:hAnsi="Times New Roman"/>
          <w:sz w:val="24"/>
          <w:szCs w:val="24"/>
          <w:lang w:val="en-US"/>
        </w:rPr>
        <w:t>Nexavar</w:t>
      </w:r>
      <w:proofErr w:type="spellEnd"/>
      <w:r w:rsidRPr="00FD34B5">
        <w:rPr>
          <w:rFonts w:ascii="Times New Roman" w:hAnsi="Times New Roman"/>
          <w:sz w:val="24"/>
          <w:szCs w:val="24"/>
          <w:lang w:val="en-US"/>
        </w:rPr>
        <w:t>)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D34B5">
        <w:rPr>
          <w:rFonts w:ascii="Times New Roman" w:hAnsi="Times New Roman"/>
          <w:sz w:val="24"/>
          <w:szCs w:val="24"/>
        </w:rPr>
        <w:t>Tivozanib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34B5">
        <w:rPr>
          <w:rFonts w:ascii="Times New Roman" w:hAnsi="Times New Roman"/>
          <w:sz w:val="24"/>
          <w:szCs w:val="24"/>
        </w:rPr>
        <w:t>Fotivda</w:t>
      </w:r>
      <w:proofErr w:type="spellEnd"/>
      <w:r w:rsidRPr="00FD34B5">
        <w:rPr>
          <w:rFonts w:ascii="Times New Roman" w:hAnsi="Times New Roman"/>
          <w:sz w:val="24"/>
          <w:szCs w:val="24"/>
        </w:rPr>
        <w:t>)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D34B5">
        <w:rPr>
          <w:rFonts w:ascii="Times New Roman" w:hAnsi="Times New Roman"/>
          <w:sz w:val="24"/>
          <w:szCs w:val="24"/>
        </w:rPr>
        <w:t>Everolimus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34B5">
        <w:rPr>
          <w:rFonts w:ascii="Times New Roman" w:hAnsi="Times New Roman"/>
          <w:sz w:val="24"/>
          <w:szCs w:val="24"/>
        </w:rPr>
        <w:t>Afinitor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D34B5">
        <w:rPr>
          <w:rFonts w:ascii="Times New Roman" w:hAnsi="Times New Roman"/>
          <w:sz w:val="24"/>
          <w:szCs w:val="24"/>
        </w:rPr>
        <w:t>mTor</w:t>
      </w:r>
      <w:proofErr w:type="spellEnd"/>
      <w:r w:rsidRPr="00FD34B5">
        <w:rPr>
          <w:rFonts w:ascii="Times New Roman" w:hAnsi="Times New Roman"/>
          <w:sz w:val="24"/>
          <w:szCs w:val="24"/>
        </w:rPr>
        <w:t xml:space="preserve"> hemmer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9789A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 xml:space="preserve">Denne gruppen medikamenter har ofte sammenfallende / overlappende bivirkninger 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>(klasse effekt):</w:t>
      </w:r>
    </w:p>
    <w:p w:rsidR="00671B66" w:rsidRPr="00FD34B5" w:rsidRDefault="00671B66" w:rsidP="00FD34B5">
      <w:pPr>
        <w:spacing w:line="360" w:lineRule="auto"/>
        <w:rPr>
          <w:rFonts w:ascii="Times New Roman" w:hAnsi="Times New Roman"/>
          <w:sz w:val="24"/>
          <w:szCs w:val="24"/>
        </w:rPr>
      </w:pPr>
      <w:r w:rsidRPr="00FD34B5">
        <w:rPr>
          <w:rFonts w:ascii="Times New Roman" w:hAnsi="Times New Roman"/>
          <w:sz w:val="24"/>
          <w:szCs w:val="24"/>
        </w:rPr>
        <w:t>Grad av bivirkninger er doseavhengig</w:t>
      </w:r>
      <w:r w:rsidR="00F30C1A">
        <w:rPr>
          <w:rFonts w:ascii="Times New Roman" w:hAnsi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Lavt stoffskifte (en sjelden gang høyt)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Blodtrykksstigning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Tap av proteiner (eggehvitestoffer i urin) / Nyreskade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Benmargspåvirkning – redusert produksjon av hvite/r</w:t>
      </w:r>
      <w:r w:rsidR="006443C2" w:rsidRPr="00FD34B5">
        <w:rPr>
          <w:rFonts w:ascii="Times New Roman" w:hAnsi="Times New Roman" w:cs="Times New Roman"/>
          <w:sz w:val="24"/>
          <w:szCs w:val="24"/>
        </w:rPr>
        <w:t xml:space="preserve">øde blodceller og blodplater- </w:t>
      </w:r>
      <w:r w:rsidRPr="00FD34B5">
        <w:rPr>
          <w:rFonts w:ascii="Times New Roman" w:hAnsi="Times New Roman" w:cs="Times New Roman"/>
          <w:sz w:val="24"/>
          <w:szCs w:val="24"/>
        </w:rPr>
        <w:t>som i sin tur kan gi økt risiko for infeksjon/blødning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Såre munnslimhinner/smaksendring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Redusert appetitt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Endret stemme/ svak stemme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Løsere avføring / diare /kvalme/ brekninger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Hudbivirkninger: Typisk hånd/fot syndrom – tørr hud/blemmer/sår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Leverpåvirkning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Bukspyttkjertelbetennelse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 xml:space="preserve">Blødningsrisiko / redusert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sårtilheling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>/fisteldannelse (OBS: kirurgiske inngrep bør planlegges)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F30C1A" w:rsidRDefault="00F30C1A" w:rsidP="00F30C1A">
      <w:pPr>
        <w:pStyle w:val="Listeavsnitt"/>
        <w:spacing w:line="360" w:lineRule="auto"/>
        <w:ind w:left="2136"/>
        <w:rPr>
          <w:rFonts w:ascii="Times New Roman" w:hAnsi="Times New Roman" w:cs="Times New Roman"/>
          <w:sz w:val="24"/>
          <w:szCs w:val="24"/>
        </w:rPr>
      </w:pPr>
    </w:p>
    <w:p w:rsidR="00F30C1A" w:rsidRDefault="00F30C1A" w:rsidP="00F30C1A">
      <w:pPr>
        <w:pStyle w:val="Listeavsnitt"/>
        <w:spacing w:line="360" w:lineRule="auto"/>
        <w:ind w:left="2136"/>
        <w:rPr>
          <w:rFonts w:ascii="Times New Roman" w:hAnsi="Times New Roman" w:cs="Times New Roman"/>
          <w:sz w:val="24"/>
          <w:szCs w:val="24"/>
        </w:rPr>
      </w:pPr>
    </w:p>
    <w:p w:rsidR="00F30C1A" w:rsidRDefault="00F30C1A" w:rsidP="00F30C1A">
      <w:pPr>
        <w:pStyle w:val="Listeavsnitt"/>
        <w:spacing w:line="360" w:lineRule="auto"/>
        <w:ind w:left="2136"/>
        <w:rPr>
          <w:rFonts w:ascii="Times New Roman" w:hAnsi="Times New Roman" w:cs="Times New Roman"/>
          <w:sz w:val="24"/>
          <w:szCs w:val="24"/>
        </w:rPr>
      </w:pPr>
    </w:p>
    <w:p w:rsidR="00671B66" w:rsidRPr="00FD34B5" w:rsidRDefault="00671B66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Tann/kjeve problemer (obs. behandling må stoppes i forbindelse med planlagt tannbehandling som tanntrekking/rotfylling osv.)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 xml:space="preserve">Sekundær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polycytemi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(høyt antall røde blodceller)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Økt risiko f</w:t>
      </w:r>
      <w:r w:rsidR="00F10E35" w:rsidRPr="00FD34B5">
        <w:rPr>
          <w:rFonts w:ascii="Times New Roman" w:hAnsi="Times New Roman" w:cs="Times New Roman"/>
          <w:sz w:val="24"/>
          <w:szCs w:val="24"/>
        </w:rPr>
        <w:t>or blodpropp.</w:t>
      </w:r>
    </w:p>
    <w:p w:rsidR="00733C10" w:rsidRPr="00FD34B5" w:rsidRDefault="00733C10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Hjerte/karsykdom/ Bl.a. hjerteinfarkt/hjertesvikt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6443C2" w:rsidRPr="00FD34B5" w:rsidRDefault="006443C2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>Håravfall (sjeldent)</w:t>
      </w:r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6443C2" w:rsidRPr="00FD34B5" w:rsidRDefault="006443C2" w:rsidP="00FD34B5">
      <w:pPr>
        <w:pStyle w:val="Listeavsnit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 xml:space="preserve">Slapphet/redusert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almentilstand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fatigue</w:t>
      </w:r>
      <w:proofErr w:type="spellEnd"/>
      <w:r w:rsidR="00F10E35" w:rsidRPr="00FD34B5">
        <w:rPr>
          <w:rFonts w:ascii="Times New Roman" w:hAnsi="Times New Roman" w:cs="Times New Roman"/>
          <w:sz w:val="24"/>
          <w:szCs w:val="24"/>
        </w:rPr>
        <w:t>.</w:t>
      </w:r>
    </w:p>
    <w:p w:rsidR="00733C10" w:rsidRPr="00FD34B5" w:rsidRDefault="00733C10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67763" w:rsidRPr="00FD34B5" w:rsidRDefault="00467763" w:rsidP="00FD34B5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67763" w:rsidRPr="00FD34B5">
      <w:headerReference w:type="default" r:id="rId7"/>
      <w:footerReference w:type="default" r:id="rId8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17" w:rsidRDefault="00137517">
      <w:r>
        <w:separator/>
      </w:r>
    </w:p>
  </w:endnote>
  <w:endnote w:type="continuationSeparator" w:id="0">
    <w:p w:rsidR="00137517" w:rsidRDefault="001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63" w:rsidRDefault="00F30C1A">
    <w:pPr>
      <w:pStyle w:val="Bunntekst"/>
    </w:pPr>
    <w:r>
      <w:t>Godkjent mars 2023</w:t>
    </w:r>
    <w:r>
      <w:ptab w:relativeTo="margin" w:alignment="center" w:leader="none"/>
    </w:r>
    <w:r>
      <w:ptab w:relativeTo="margin" w:alignment="right" w:leader="none"/>
    </w: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01E7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01E7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17" w:rsidRDefault="00137517">
      <w:r>
        <w:separator/>
      </w:r>
    </w:p>
  </w:footnote>
  <w:footnote w:type="continuationSeparator" w:id="0">
    <w:p w:rsidR="00137517" w:rsidRDefault="0013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1A" w:rsidRDefault="00F30C1A">
    <w:pPr>
      <w:pStyle w:val="Topptekst"/>
    </w:pPr>
    <w:r>
      <w:rPr>
        <w:noProof/>
      </w:rPr>
      <w:drawing>
        <wp:inline distT="0" distB="0" distL="0" distR="0" wp14:anchorId="76F60ACC" wp14:editId="5809331D">
          <wp:extent cx="2331720" cy="243840"/>
          <wp:effectExtent l="0" t="0" r="0" b="381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742FB5"/>
    <w:multiLevelType w:val="hybridMultilevel"/>
    <w:tmpl w:val="637601A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0CC35AA"/>
    <w:multiLevelType w:val="hybridMultilevel"/>
    <w:tmpl w:val="A55087E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44D8465F"/>
    <w:multiLevelType w:val="hybridMultilevel"/>
    <w:tmpl w:val="D1E250F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6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8"/>
  </w:num>
  <w:num w:numId="25">
    <w:abstractNumId w:val="8"/>
  </w:num>
  <w:num w:numId="26">
    <w:abstractNumId w:val="8"/>
  </w:num>
  <w:num w:numId="27">
    <w:abstractNumId w:val="5"/>
  </w:num>
  <w:num w:numId="28">
    <w:abstractNumId w:val="13"/>
  </w:num>
  <w:num w:numId="29">
    <w:abstractNumId w:val="11"/>
  </w:num>
  <w:num w:numId="30">
    <w:abstractNumId w:val="2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369F9"/>
    <w:rsid w:val="000B493E"/>
    <w:rsid w:val="000C542D"/>
    <w:rsid w:val="000E429E"/>
    <w:rsid w:val="00137517"/>
    <w:rsid w:val="001A0CAF"/>
    <w:rsid w:val="00260B3B"/>
    <w:rsid w:val="0027718E"/>
    <w:rsid w:val="00293BF2"/>
    <w:rsid w:val="0029789A"/>
    <w:rsid w:val="0038477C"/>
    <w:rsid w:val="003B43C7"/>
    <w:rsid w:val="003F575B"/>
    <w:rsid w:val="00467763"/>
    <w:rsid w:val="00485CB3"/>
    <w:rsid w:val="004D53EA"/>
    <w:rsid w:val="004F18BF"/>
    <w:rsid w:val="00551C74"/>
    <w:rsid w:val="0055325F"/>
    <w:rsid w:val="0058324D"/>
    <w:rsid w:val="005E083A"/>
    <w:rsid w:val="006443C2"/>
    <w:rsid w:val="00671B66"/>
    <w:rsid w:val="00704840"/>
    <w:rsid w:val="00733C10"/>
    <w:rsid w:val="00767002"/>
    <w:rsid w:val="007672B7"/>
    <w:rsid w:val="00775CD1"/>
    <w:rsid w:val="0078410B"/>
    <w:rsid w:val="007D1176"/>
    <w:rsid w:val="007D6193"/>
    <w:rsid w:val="009669D7"/>
    <w:rsid w:val="00A0272F"/>
    <w:rsid w:val="00A23F25"/>
    <w:rsid w:val="00A53AEA"/>
    <w:rsid w:val="00AA4FE4"/>
    <w:rsid w:val="00B822AE"/>
    <w:rsid w:val="00B94093"/>
    <w:rsid w:val="00D268BF"/>
    <w:rsid w:val="00E01E7A"/>
    <w:rsid w:val="00E026E9"/>
    <w:rsid w:val="00EC719A"/>
    <w:rsid w:val="00F10E35"/>
    <w:rsid w:val="00F30C1A"/>
    <w:rsid w:val="00F5716B"/>
    <w:rsid w:val="00F9521E"/>
    <w:rsid w:val="00FA0155"/>
    <w:rsid w:val="00FC0DE7"/>
    <w:rsid w:val="00F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6176A979-724B-43EB-A591-58916312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paragraph" w:styleId="Listeavsnitt">
    <w:name w:val="List Paragraph"/>
    <w:basedOn w:val="Normal"/>
    <w:uiPriority w:val="34"/>
    <w:qFormat/>
    <w:rsid w:val="00733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1080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Roar Prydz Christensen</dc:creator>
  <cp:lastModifiedBy>Gunn Kristin Sandvik</cp:lastModifiedBy>
  <cp:revision>6</cp:revision>
  <cp:lastPrinted>2023-03-31T11:21:00Z</cp:lastPrinted>
  <dcterms:created xsi:type="dcterms:W3CDTF">2023-03-31T10:39:00Z</dcterms:created>
  <dcterms:modified xsi:type="dcterms:W3CDTF">2023-03-31T11:21:00Z</dcterms:modified>
</cp:coreProperties>
</file>