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AB9" w:rsidRDefault="00E32780">
      <w:pPr>
        <w:tabs>
          <w:tab w:val="right" w:pos="10206"/>
        </w:tabs>
      </w:pPr>
      <w:r>
        <w:rPr>
          <w:noProof/>
        </w:rPr>
        <w:drawing>
          <wp:inline distT="0" distB="0" distL="0" distR="0">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r w:rsidR="009C5AB9">
        <w:tab/>
        <w:t>Legges ved det dokumentet som er utarbeidet.</w:t>
      </w:r>
    </w:p>
    <w:p w:rsidR="009C5AB9" w:rsidRPr="006C4267" w:rsidRDefault="009C5AB9" w:rsidP="006C4267">
      <w:pPr>
        <w:pStyle w:val="Overskrift1"/>
        <w:numPr>
          <w:ilvl w:val="0"/>
          <w:numId w:val="0"/>
        </w:numPr>
        <w:tabs>
          <w:tab w:val="left" w:pos="360"/>
        </w:tabs>
        <w:rPr>
          <w:sz w:val="28"/>
        </w:rPr>
      </w:pPr>
      <w:r>
        <w:t xml:space="preserve">AGREE metoderapport - </w:t>
      </w:r>
      <w:r w:rsidR="006C4267">
        <w:br/>
      </w:r>
      <w:r w:rsidRPr="006C4267">
        <w:t>om hvordan dokumentet er utarbeidet</w:t>
      </w:r>
      <w:r w:rsidR="006C4267" w:rsidRPr="006C4267">
        <w:t xml:space="preserve"> </w:t>
      </w:r>
      <w:r w:rsidRPr="006C4267">
        <w:t xml:space="preserve">- informasjon </w:t>
      </w:r>
      <w:r w:rsidR="006C4267" w:rsidRPr="006C4267">
        <w:t>til leser</w:t>
      </w:r>
    </w:p>
    <w:tbl>
      <w:tblPr>
        <w:tblW w:w="104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3"/>
        <w:gridCol w:w="4229"/>
        <w:gridCol w:w="1555"/>
        <w:gridCol w:w="1695"/>
      </w:tblGrid>
      <w:tr w:rsidR="009C5AB9" w:rsidTr="002229D3">
        <w:tc>
          <w:tcPr>
            <w:tcW w:w="10422" w:type="dxa"/>
            <w:gridSpan w:val="4"/>
            <w:shd w:val="clear" w:color="auto" w:fill="F3F3F3"/>
          </w:tcPr>
          <w:p w:rsidR="009C5AB9" w:rsidRDefault="009C5AB9" w:rsidP="00C3480F">
            <w:pPr>
              <w:pStyle w:val="Brdtekst"/>
              <w:tabs>
                <w:tab w:val="left" w:pos="1734"/>
                <w:tab w:val="right" w:pos="10065"/>
              </w:tabs>
              <w:spacing w:before="60" w:after="60"/>
              <w:ind w:left="108"/>
            </w:pPr>
            <w:r>
              <w:t xml:space="preserve">For alle dokumenter fylles følgende ut: AGREE-krav </w:t>
            </w:r>
            <w:r w:rsidR="005743BF">
              <w:t xml:space="preserve">3, </w:t>
            </w:r>
            <w:r>
              <w:t xml:space="preserve">4, 5, </w:t>
            </w:r>
            <w:r w:rsidR="00A061B6">
              <w:t xml:space="preserve">6, </w:t>
            </w:r>
            <w:r>
              <w:t>1</w:t>
            </w:r>
            <w:r w:rsidR="00D842AF">
              <w:t>3</w:t>
            </w:r>
            <w:r w:rsidR="00A061B6">
              <w:t xml:space="preserve"> </w:t>
            </w:r>
            <w:r>
              <w:t>og 23 (Kortversjon)</w:t>
            </w:r>
          </w:p>
          <w:p w:rsidR="009C5AB9" w:rsidRDefault="009C5AB9" w:rsidP="003831E6">
            <w:pPr>
              <w:pStyle w:val="Brdtekst"/>
              <w:tabs>
                <w:tab w:val="left" w:pos="1734"/>
                <w:tab w:val="right" w:pos="10065"/>
              </w:tabs>
              <w:spacing w:before="60" w:after="60"/>
              <w:ind w:left="108"/>
            </w:pPr>
            <w:r>
              <w:t xml:space="preserve">For dokumenter som er utarbeidet kunnskapsbasert fylles følgende ut: </w:t>
            </w:r>
            <w:r w:rsidR="003831E6">
              <w:t xml:space="preserve">Alle </w:t>
            </w:r>
            <w:r>
              <w:t>AGREE-kravene (langversjon)</w:t>
            </w:r>
          </w:p>
        </w:tc>
      </w:tr>
      <w:tr w:rsidR="009C5AB9" w:rsidTr="00BE1B39">
        <w:tc>
          <w:tcPr>
            <w:tcW w:w="2943" w:type="dxa"/>
            <w:shd w:val="clear" w:color="auto" w:fill="F3F3F3"/>
            <w:vAlign w:val="center"/>
          </w:tcPr>
          <w:p w:rsidR="009C5AB9" w:rsidRDefault="009C5AB9" w:rsidP="00BE1B39">
            <w:pPr>
              <w:pStyle w:val="Brdtekst"/>
              <w:spacing w:before="60" w:after="60"/>
              <w:ind w:left="108" w:right="141"/>
            </w:pPr>
            <w:r>
              <w:rPr>
                <w:b/>
                <w:bCs/>
              </w:rPr>
              <w:t>AGREE-KRAVENE</w:t>
            </w:r>
          </w:p>
        </w:tc>
        <w:tc>
          <w:tcPr>
            <w:tcW w:w="7479" w:type="dxa"/>
            <w:gridSpan w:val="3"/>
            <w:shd w:val="clear" w:color="auto" w:fill="F3F3F3"/>
          </w:tcPr>
          <w:p w:rsidR="00AA6E75" w:rsidRDefault="002229D3" w:rsidP="00AA6E75">
            <w:pPr>
              <w:spacing w:before="40"/>
              <w:ind w:left="108"/>
            </w:pPr>
            <w:r>
              <w:t>Se</w:t>
            </w:r>
            <w:r w:rsidR="00AA6E75">
              <w:t>:</w:t>
            </w:r>
            <w:r>
              <w:t xml:space="preserve"> </w:t>
            </w:r>
          </w:p>
          <w:p w:rsidR="00AA6E75" w:rsidRDefault="00671422" w:rsidP="00AA6E75">
            <w:pPr>
              <w:pStyle w:val="Listeavsnitt"/>
              <w:numPr>
                <w:ilvl w:val="0"/>
                <w:numId w:val="2"/>
              </w:numPr>
              <w:spacing w:before="40"/>
            </w:pPr>
            <w:hyperlink r:id="rId9" w:tgtFrame="_parent" w:history="1">
              <w:r w:rsidR="00C3480F" w:rsidRPr="009C5AB9">
                <w:rPr>
                  <w:rStyle w:val="Hyperkobling"/>
                </w:rPr>
                <w:t>Veiledning for utfyllin</w:t>
              </w:r>
              <w:r w:rsidR="00AA6E75">
                <w:rPr>
                  <w:rStyle w:val="Hyperkobling"/>
                </w:rPr>
                <w:t>g av metoderapport</w:t>
              </w:r>
            </w:hyperlink>
            <w:r w:rsidR="0066264D">
              <w:rPr>
                <w:rStyle w:val="Hyperkobling"/>
              </w:rPr>
              <w:t xml:space="preserve"> </w:t>
            </w:r>
            <w:r w:rsidR="00AA6E75">
              <w:t>(alle dokumenter)</w:t>
            </w:r>
          </w:p>
          <w:p w:rsidR="0066264D" w:rsidRPr="0066264D" w:rsidRDefault="00671422" w:rsidP="00AA6E75">
            <w:pPr>
              <w:pStyle w:val="Listeavsnitt"/>
              <w:numPr>
                <w:ilvl w:val="0"/>
                <w:numId w:val="2"/>
              </w:numPr>
              <w:spacing w:before="40" w:after="120"/>
              <w:ind w:hanging="357"/>
            </w:pPr>
            <w:hyperlink r:id="rId10" w:history="1">
              <w:r w:rsidR="0066264D" w:rsidRPr="0066264D">
                <w:rPr>
                  <w:rStyle w:val="Hyperkobling"/>
                </w:rPr>
                <w:t xml:space="preserve">Veileder for utfylling metoderapport </w:t>
              </w:r>
              <w:r w:rsidR="00AA6E75">
                <w:rPr>
                  <w:rStyle w:val="Hyperkobling"/>
                </w:rPr>
                <w:t>Veiledende behandlingsplaner</w:t>
              </w:r>
            </w:hyperlink>
          </w:p>
        </w:tc>
      </w:tr>
      <w:tr w:rsidR="009C5AB9" w:rsidTr="002229D3">
        <w:tc>
          <w:tcPr>
            <w:tcW w:w="2943" w:type="dxa"/>
            <w:shd w:val="clear" w:color="auto" w:fill="F3F3F3"/>
          </w:tcPr>
          <w:p w:rsidR="009C5AB9" w:rsidRDefault="009C5AB9" w:rsidP="00BE1B39">
            <w:pPr>
              <w:pStyle w:val="Brdtekst"/>
              <w:spacing w:before="60" w:after="60"/>
              <w:ind w:left="108" w:right="141"/>
              <w:rPr>
                <w:b/>
                <w:bCs/>
              </w:rPr>
            </w:pPr>
            <w:r w:rsidRPr="00A061B6">
              <w:rPr>
                <w:bCs/>
              </w:rPr>
              <w:t>1</w:t>
            </w:r>
            <w:r w:rsidR="00C3480F" w:rsidRPr="00A061B6">
              <w:rPr>
                <w:bCs/>
              </w:rPr>
              <w:t>.</w:t>
            </w:r>
            <w:r w:rsidRPr="00A061B6">
              <w:rPr>
                <w:bCs/>
              </w:rPr>
              <w:t xml:space="preserve"> Dokumentets </w:t>
            </w:r>
            <w:r w:rsidR="00C3480F" w:rsidRPr="00A061B6">
              <w:rPr>
                <w:bCs/>
              </w:rPr>
              <w:t>overordnede</w:t>
            </w:r>
            <w:r w:rsidRPr="00A061B6">
              <w:rPr>
                <w:bCs/>
              </w:rPr>
              <w:t xml:space="preserve"> mål er klart beskrevet</w:t>
            </w:r>
            <w:r>
              <w:rPr>
                <w:b/>
                <w:bCs/>
              </w:rPr>
              <w:t xml:space="preserve"> </w:t>
            </w:r>
            <w:r w:rsidR="006C4267">
              <w:rPr>
                <w:b/>
                <w:bCs/>
              </w:rPr>
              <w:br/>
            </w:r>
            <w:r w:rsidRPr="006C4267">
              <w:t>(Hvorfor</w:t>
            </w:r>
            <w:r>
              <w:t xml:space="preserve"> trengs dokumentet?)</w:t>
            </w:r>
          </w:p>
        </w:tc>
        <w:tc>
          <w:tcPr>
            <w:tcW w:w="7479" w:type="dxa"/>
            <w:gridSpan w:val="3"/>
          </w:tcPr>
          <w:p w:rsidR="009C5AB9" w:rsidRDefault="00C05AB7" w:rsidP="00537DB5">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864"/>
        </w:trPr>
        <w:tc>
          <w:tcPr>
            <w:tcW w:w="2943" w:type="dxa"/>
            <w:shd w:val="clear" w:color="auto" w:fill="F3F3F3"/>
          </w:tcPr>
          <w:p w:rsidR="009C5AB9" w:rsidRDefault="009C5AB9" w:rsidP="00BE1B39">
            <w:pPr>
              <w:pStyle w:val="Brdtekst"/>
              <w:spacing w:before="60" w:after="60"/>
              <w:ind w:left="108" w:right="141"/>
              <w:rPr>
                <w:b/>
                <w:bCs/>
              </w:rPr>
            </w:pPr>
            <w:r>
              <w:t>2</w:t>
            </w:r>
            <w:r w:rsidR="00C3480F">
              <w:rPr>
                <w:b/>
                <w:bCs/>
              </w:rPr>
              <w:t>.</w:t>
            </w:r>
            <w:r>
              <w:rPr>
                <w:b/>
                <w:bCs/>
              </w:rPr>
              <w:t xml:space="preserve"> </w:t>
            </w:r>
            <w:r>
              <w:t>Helsespørsmålet (ene) i dokumentet er klart beskrevet</w:t>
            </w:r>
            <w:r w:rsidR="00C74BB8">
              <w:t>?</w:t>
            </w:r>
          </w:p>
        </w:tc>
        <w:tc>
          <w:tcPr>
            <w:tcW w:w="7479" w:type="dxa"/>
            <w:gridSpan w:val="3"/>
          </w:tcPr>
          <w:p w:rsidR="009C5AB9" w:rsidRPr="002229D3" w:rsidRDefault="006C4267" w:rsidP="00C3480F">
            <w:pPr>
              <w:spacing w:before="40"/>
              <w:ind w:left="108"/>
              <w:rPr>
                <w:sz w:val="16"/>
              </w:rPr>
            </w:pPr>
            <w:r w:rsidRPr="002229D3">
              <w:rPr>
                <w:sz w:val="16"/>
              </w:rPr>
              <w:t>(</w:t>
            </w:r>
            <w:r w:rsidR="009C5AB9" w:rsidRPr="002229D3">
              <w:rPr>
                <w:sz w:val="16"/>
              </w:rPr>
              <w:t xml:space="preserve">for kunnskapsbaserte dokumenter kan man her bare henvise til vedlagt </w:t>
            </w:r>
            <w:hyperlink r:id="rId11" w:history="1">
              <w:r w:rsidR="009C5AB9" w:rsidRPr="002D32C9">
                <w:rPr>
                  <w:rStyle w:val="Hyperkobling"/>
                  <w:sz w:val="16"/>
                </w:rPr>
                <w:t>PICO-skjema</w:t>
              </w:r>
            </w:hyperlink>
            <w:r w:rsidR="009C5AB9" w:rsidRPr="002229D3">
              <w:rPr>
                <w:sz w:val="16"/>
              </w:rPr>
              <w:t>)</w:t>
            </w:r>
          </w:p>
          <w:p w:rsidR="00C05AB7"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543"/>
        </w:trPr>
        <w:tc>
          <w:tcPr>
            <w:tcW w:w="2943" w:type="dxa"/>
            <w:shd w:val="clear" w:color="auto" w:fill="F3F3F3"/>
          </w:tcPr>
          <w:p w:rsidR="009C5AB9" w:rsidRPr="005743BF" w:rsidRDefault="009C5AB9" w:rsidP="00BE1B39">
            <w:pPr>
              <w:pStyle w:val="Brdtekst"/>
              <w:spacing w:before="60" w:after="60"/>
              <w:ind w:left="108" w:right="141"/>
              <w:rPr>
                <w:b/>
              </w:rPr>
            </w:pPr>
            <w:r w:rsidRPr="005743BF">
              <w:rPr>
                <w:b/>
              </w:rPr>
              <w:t>3</w:t>
            </w:r>
            <w:r w:rsidR="00C3480F" w:rsidRPr="005743BF">
              <w:rPr>
                <w:b/>
              </w:rPr>
              <w:t>.</w:t>
            </w:r>
            <w:r w:rsidRPr="005743BF">
              <w:rPr>
                <w:b/>
              </w:rPr>
              <w:t xml:space="preserve"> Populasjonen (pasienter, befolkning osv</w:t>
            </w:r>
            <w:r w:rsidR="00C3480F" w:rsidRPr="005743BF">
              <w:rPr>
                <w:b/>
              </w:rPr>
              <w:t>.</w:t>
            </w:r>
            <w:r w:rsidRPr="005743BF">
              <w:rPr>
                <w:b/>
              </w:rPr>
              <w:t>) dokumentet</w:t>
            </w:r>
            <w:r w:rsidR="00C74BB8" w:rsidRPr="005743BF">
              <w:rPr>
                <w:b/>
              </w:rPr>
              <w:t xml:space="preserve"> gjelder for er klart beskrevet?</w:t>
            </w:r>
            <w:r w:rsidRPr="005743BF">
              <w:rPr>
                <w:b/>
              </w:rPr>
              <w:t xml:space="preserve"> </w:t>
            </w:r>
          </w:p>
        </w:tc>
        <w:tc>
          <w:tcPr>
            <w:tcW w:w="7479" w:type="dxa"/>
            <w:gridSpan w:val="3"/>
          </w:tcPr>
          <w:p w:rsidR="009C5AB9" w:rsidRPr="002229D3" w:rsidRDefault="009C5AB9" w:rsidP="006C4267">
            <w:pPr>
              <w:spacing w:before="40"/>
              <w:ind w:left="108"/>
              <w:rPr>
                <w:sz w:val="16"/>
              </w:rPr>
            </w:pPr>
            <w:r w:rsidRPr="002229D3">
              <w:rPr>
                <w:sz w:val="16"/>
              </w:rPr>
              <w:t xml:space="preserve">(for kunnskapsbaserte dokumenter kan man her bare henvise til vedlagt </w:t>
            </w:r>
            <w:hyperlink r:id="rId12" w:history="1">
              <w:r w:rsidR="002D32C9" w:rsidRPr="002D32C9">
                <w:rPr>
                  <w:rStyle w:val="Hyperkobling"/>
                  <w:sz w:val="16"/>
                </w:rPr>
                <w:t>PICO-skjema</w:t>
              </w:r>
            </w:hyperlink>
            <w:r w:rsidRPr="002229D3">
              <w:rPr>
                <w:sz w:val="16"/>
              </w:rPr>
              <w:t>)</w:t>
            </w:r>
          </w:p>
          <w:p w:rsidR="00C05AB7" w:rsidRDefault="00C05AB7" w:rsidP="006C4267">
            <w:pPr>
              <w:spacing w:before="40"/>
              <w:ind w:left="108"/>
            </w:pPr>
            <w:r>
              <w:fldChar w:fldCharType="begin">
                <w:ffData>
                  <w:name w:val="Tekst1"/>
                  <w:enabled/>
                  <w:calcOnExit w:val="0"/>
                  <w:textInput/>
                </w:ffData>
              </w:fldChar>
            </w:r>
            <w:r>
              <w:instrText xml:space="preserve"> FORMTEXT </w:instrText>
            </w:r>
            <w:r>
              <w:fldChar w:fldCharType="separate"/>
            </w:r>
            <w:r w:rsidR="00537DB5">
              <w:t>Ja</w:t>
            </w:r>
            <w:r>
              <w:rPr>
                <w:rFonts w:ascii="MS Mincho" w:eastAsia="MS Mincho" w:hAnsi="MS Mincho" w:cs="MS Mincho" w:hint="eastAsia"/>
              </w:rPr>
              <w:t>     </w:t>
            </w:r>
            <w:r>
              <w:fldChar w:fldCharType="end"/>
            </w:r>
          </w:p>
        </w:tc>
      </w:tr>
      <w:tr w:rsidR="009C5AB9" w:rsidTr="000E2422">
        <w:trPr>
          <w:trHeight w:val="2982"/>
        </w:trPr>
        <w:tc>
          <w:tcPr>
            <w:tcW w:w="2943" w:type="dxa"/>
            <w:shd w:val="clear" w:color="auto" w:fill="F3F3F3"/>
          </w:tcPr>
          <w:p w:rsidR="009C5AB9" w:rsidRDefault="009C5AB9" w:rsidP="00BE1B39">
            <w:pPr>
              <w:pStyle w:val="Brdtekst"/>
              <w:spacing w:before="60" w:after="60"/>
              <w:ind w:left="108" w:right="141"/>
              <w:rPr>
                <w:b/>
                <w:bCs/>
              </w:rPr>
            </w:pPr>
            <w:r>
              <w:rPr>
                <w:b/>
                <w:bCs/>
              </w:rPr>
              <w:t>4</w:t>
            </w:r>
            <w:r w:rsidR="00C3480F">
              <w:rPr>
                <w:b/>
                <w:bCs/>
              </w:rPr>
              <w:t>.</w:t>
            </w:r>
            <w:r>
              <w:rPr>
                <w:b/>
                <w:bCs/>
              </w:rPr>
              <w:t xml:space="preserve">  Arbeidsgruppen som har utarbeidet dokumentet har med personer fra alle relevante faggrupper </w:t>
            </w:r>
            <w:r w:rsidRPr="00C74BB8">
              <w:rPr>
                <w:bCs/>
              </w:rPr>
              <w:t>(navn, tittel,</w:t>
            </w:r>
            <w:r w:rsidR="00C3480F" w:rsidRPr="00C74BB8">
              <w:rPr>
                <w:bCs/>
              </w:rPr>
              <w:t xml:space="preserve"> </w:t>
            </w:r>
            <w:r w:rsidR="00C74BB8" w:rsidRPr="00C74BB8">
              <w:rPr>
                <w:bCs/>
              </w:rPr>
              <w:t>og arbeidssted på alle):</w:t>
            </w:r>
          </w:p>
          <w:p w:rsidR="009C5AB9" w:rsidRDefault="009C5AB9" w:rsidP="00BE1B39">
            <w:pPr>
              <w:pStyle w:val="Brdtekst"/>
              <w:spacing w:before="60" w:after="60"/>
              <w:ind w:left="108" w:right="141"/>
            </w:pPr>
            <w:r>
              <w:rPr>
                <w:b/>
                <w:bCs/>
              </w:rPr>
              <w:t>Noter også ned de råd, utvalg, kompetansesentra etc</w:t>
            </w:r>
            <w:r w:rsidR="00C3480F">
              <w:rPr>
                <w:b/>
                <w:bCs/>
              </w:rPr>
              <w:t>.</w:t>
            </w:r>
            <w:r>
              <w:rPr>
                <w:b/>
                <w:bCs/>
              </w:rPr>
              <w:t xml:space="preserve"> som har deltatt.</w:t>
            </w:r>
          </w:p>
        </w:tc>
        <w:tc>
          <w:tcPr>
            <w:tcW w:w="7479" w:type="dxa"/>
            <w:gridSpan w:val="3"/>
          </w:tcPr>
          <w:p w:rsidR="00CD2C1C" w:rsidRDefault="00C05AB7" w:rsidP="00537DB5">
            <w:pPr>
              <w:ind w:left="108"/>
            </w:pPr>
            <w:r>
              <w:fldChar w:fldCharType="begin">
                <w:ffData>
                  <w:name w:val="Tekst1"/>
                  <w:enabled/>
                  <w:calcOnExit w:val="0"/>
                  <w:textInput/>
                </w:ffData>
              </w:fldChar>
            </w:r>
            <w:r>
              <w:instrText xml:space="preserve"> FORMTEXT </w:instrText>
            </w:r>
            <w:r>
              <w:fldChar w:fldCharType="separate"/>
            </w:r>
            <w:r w:rsidR="00CD2C1C">
              <w:t xml:space="preserve">Versjon </w:t>
            </w:r>
            <w:r w:rsidR="00142083">
              <w:t>11</w:t>
            </w:r>
            <w:r w:rsidR="00671422">
              <w:t xml:space="preserve">, </w:t>
            </w:r>
            <w:bookmarkStart w:id="0" w:name="_GoBack"/>
            <w:bookmarkEnd w:id="0"/>
            <w:r w:rsidR="00671422">
              <w:t xml:space="preserve">12 og </w:t>
            </w:r>
            <w:r w:rsidR="00CD2C1C">
              <w:t>1</w:t>
            </w:r>
            <w:r w:rsidR="00142083">
              <w:t>3</w:t>
            </w:r>
            <w:r w:rsidR="00CD2C1C">
              <w:t>, tittel endret tilbake til Knuse/dele, og åpnet opp for mer informasjon om deldoser/MAMBA, høring i barnemiljøet: Cecilie Ambli, Ann Cecilie Mørk, Anne Vestli, Cathrine Kjeldbye-Høie og Arna Teigen (Vest)</w:t>
            </w:r>
            <w:r w:rsidR="00296039">
              <w:t>. Lagt til konklusjon 9 på tablett/kapselformuleringer av kreftlegemidler som bare hadde konklusjon 8 for å kunne gi deldoser av disse. Justering på merknader på noen antiepielptika (bl.a.Neurontin).</w:t>
            </w:r>
            <w:r w:rsidR="007E2EB5">
              <w:t xml:space="preserve"> Lagt til noen nye preparater.</w:t>
            </w:r>
            <w:r w:rsidR="00526820">
              <w:t xml:space="preserve"> Dobbeltkontrollert av Attyah Ashraf.</w:t>
            </w:r>
          </w:p>
          <w:p w:rsidR="00CD2C1C" w:rsidRDefault="00CD2C1C" w:rsidP="00537DB5">
            <w:pPr>
              <w:ind w:left="108"/>
            </w:pPr>
          </w:p>
          <w:p w:rsidR="00E813BB" w:rsidRDefault="00E813BB" w:rsidP="00537DB5">
            <w:pPr>
              <w:ind w:left="108"/>
            </w:pPr>
            <w:r>
              <w:t>Versjon 10 revidert av:</w:t>
            </w:r>
          </w:p>
          <w:p w:rsidR="00537DB5" w:rsidRDefault="00537DB5" w:rsidP="00537DB5">
            <w:pPr>
              <w:ind w:left="108"/>
              <w:rPr>
                <w:rFonts w:eastAsia="MS Mincho"/>
              </w:rPr>
            </w:pPr>
            <w:r>
              <w:rPr>
                <w:rFonts w:eastAsia="MS Mincho" w:hint="eastAsia"/>
              </w:rPr>
              <w:t>K</w:t>
            </w:r>
            <w:r>
              <w:rPr>
                <w:rFonts w:eastAsia="MS Mincho"/>
              </w:rPr>
              <w:t>nuse/dele-teamet ved Tjenesteavdelingen, Sykehusapotekene Oslo:</w:t>
            </w:r>
          </w:p>
          <w:p w:rsidR="00537DB5" w:rsidRDefault="00537DB5" w:rsidP="00537DB5">
            <w:pPr>
              <w:ind w:left="108"/>
              <w:rPr>
                <w:rFonts w:eastAsia="MS Mincho"/>
              </w:rPr>
            </w:pPr>
            <w:r>
              <w:rPr>
                <w:rFonts w:eastAsia="MS Mincho"/>
              </w:rPr>
              <w:t>Farmasøyt Lisa Mørkrid</w:t>
            </w:r>
          </w:p>
          <w:p w:rsidR="00537DB5" w:rsidRDefault="00537DB5" w:rsidP="00537DB5">
            <w:pPr>
              <w:ind w:left="108"/>
              <w:rPr>
                <w:rFonts w:eastAsia="MS Mincho"/>
              </w:rPr>
            </w:pPr>
            <w:r>
              <w:rPr>
                <w:rFonts w:eastAsia="MS Mincho"/>
              </w:rPr>
              <w:t>Farmasøyt Lloyd Mbugua Kangu</w:t>
            </w:r>
          </w:p>
          <w:p w:rsidR="00537DB5" w:rsidRDefault="00537DB5" w:rsidP="00537DB5">
            <w:pPr>
              <w:ind w:left="108"/>
              <w:rPr>
                <w:rFonts w:eastAsia="MS Mincho"/>
              </w:rPr>
            </w:pPr>
            <w:r>
              <w:rPr>
                <w:rFonts w:eastAsia="MS Mincho"/>
              </w:rPr>
              <w:t>Farmasøyt Attyah Ashraf</w:t>
            </w:r>
          </w:p>
          <w:p w:rsidR="00537DB5" w:rsidRDefault="00537DB5" w:rsidP="00537DB5">
            <w:pPr>
              <w:ind w:left="108"/>
              <w:rPr>
                <w:rFonts w:eastAsia="MS Mincho"/>
              </w:rPr>
            </w:pPr>
            <w:r>
              <w:rPr>
                <w:rFonts w:eastAsia="MS Mincho"/>
              </w:rPr>
              <w:t>Farmasøyt Opeyemi Oluwaseun Oyewumi</w:t>
            </w:r>
          </w:p>
          <w:p w:rsidR="00537DB5" w:rsidRDefault="00537DB5" w:rsidP="00537DB5">
            <w:pPr>
              <w:ind w:left="108"/>
              <w:rPr>
                <w:rFonts w:eastAsia="MS Mincho"/>
              </w:rPr>
            </w:pPr>
            <w:r>
              <w:rPr>
                <w:rFonts w:eastAsia="MS Mincho"/>
              </w:rPr>
              <w:t>Farmasøyt Adyam Tesfamariam Kebede</w:t>
            </w:r>
          </w:p>
          <w:p w:rsidR="008C536B" w:rsidRDefault="008C536B" w:rsidP="00537DB5">
            <w:pPr>
              <w:ind w:left="108"/>
              <w:rPr>
                <w:rFonts w:eastAsia="MS Mincho"/>
              </w:rPr>
            </w:pPr>
          </w:p>
          <w:p w:rsidR="008C536B" w:rsidRDefault="00E813BB" w:rsidP="00537DB5">
            <w:pPr>
              <w:ind w:left="108"/>
              <w:rPr>
                <w:rFonts w:eastAsia="MS Mincho"/>
              </w:rPr>
            </w:pPr>
            <w:r>
              <w:rPr>
                <w:rFonts w:eastAsia="MS Mincho"/>
              </w:rPr>
              <w:t>Deltatt i merknadsvurdering kreftlegemidler:</w:t>
            </w:r>
          </w:p>
          <w:p w:rsidR="00537DB5" w:rsidRDefault="00537DB5" w:rsidP="00537DB5">
            <w:pPr>
              <w:ind w:left="108"/>
              <w:rPr>
                <w:rFonts w:eastAsia="MS Mincho"/>
              </w:rPr>
            </w:pPr>
            <w:r>
              <w:rPr>
                <w:rFonts w:eastAsia="MS Mincho"/>
              </w:rPr>
              <w:t>Utvalg for medikamentell kreftbehandling (UMK)</w:t>
            </w:r>
          </w:p>
          <w:p w:rsidR="00537DB5" w:rsidRDefault="00537DB5" w:rsidP="00537DB5">
            <w:pPr>
              <w:ind w:left="108"/>
              <w:rPr>
                <w:rFonts w:eastAsia="MS Mincho"/>
              </w:rPr>
            </w:pPr>
            <w:r>
              <w:rPr>
                <w:rFonts w:eastAsia="MS Mincho"/>
              </w:rPr>
              <w:t>Gudveig Storhaug, Leder UMK, Kreftklinikken</w:t>
            </w:r>
          </w:p>
          <w:p w:rsidR="00537DB5" w:rsidRDefault="00537DB5" w:rsidP="00537DB5">
            <w:pPr>
              <w:ind w:left="108"/>
              <w:rPr>
                <w:rFonts w:eastAsia="MS Mincho"/>
              </w:rPr>
            </w:pPr>
            <w:r>
              <w:rPr>
                <w:rFonts w:eastAsia="MS Mincho"/>
              </w:rPr>
              <w:t>Pål Brenno, Avdelingsoverlege, Arbeidsmiljøavdelingen</w:t>
            </w:r>
          </w:p>
          <w:p w:rsidR="00537DB5" w:rsidRDefault="00537DB5" w:rsidP="00537DB5">
            <w:pPr>
              <w:ind w:left="108"/>
              <w:rPr>
                <w:rFonts w:eastAsia="MS Mincho"/>
              </w:rPr>
            </w:pPr>
            <w:r>
              <w:rPr>
                <w:rFonts w:eastAsia="MS Mincho"/>
              </w:rPr>
              <w:t>Geir Erland Tjønnfjord</w:t>
            </w:r>
            <w:r w:rsidR="001461EC">
              <w:rPr>
                <w:rFonts w:eastAsia="MS Mincho"/>
              </w:rPr>
              <w:t>, Avdelingsleder, Avdeling for blodsykdommer</w:t>
            </w:r>
          </w:p>
          <w:p w:rsidR="00010D0D" w:rsidRDefault="00010D0D" w:rsidP="00537DB5">
            <w:pPr>
              <w:ind w:left="108"/>
              <w:rPr>
                <w:rFonts w:eastAsia="MS Mincho"/>
              </w:rPr>
            </w:pPr>
            <w:r>
              <w:rPr>
                <w:rFonts w:eastAsia="MS Mincho"/>
              </w:rPr>
              <w:t>Alexander Fosså, Overlege, Avdeling for kreftbehandling</w:t>
            </w:r>
            <w:r w:rsidR="009A166B">
              <w:rPr>
                <w:rFonts w:eastAsia="MS Mincho"/>
              </w:rPr>
              <w:t xml:space="preserve"> (pr mail)</w:t>
            </w:r>
          </w:p>
          <w:p w:rsidR="00537DB5" w:rsidRDefault="00537DB5" w:rsidP="00537DB5">
            <w:pPr>
              <w:ind w:left="108"/>
              <w:rPr>
                <w:rFonts w:eastAsia="MS Mincho"/>
              </w:rPr>
            </w:pPr>
            <w:r>
              <w:rPr>
                <w:rFonts w:eastAsia="MS Mincho"/>
              </w:rPr>
              <w:t>Helene Negaard, Overlege, Avdeling for kreftbehandling</w:t>
            </w:r>
            <w:r w:rsidR="009A166B">
              <w:rPr>
                <w:rFonts w:eastAsia="MS Mincho"/>
              </w:rPr>
              <w:t xml:space="preserve"> (pr mail)</w:t>
            </w:r>
          </w:p>
          <w:p w:rsidR="00EE6D4A" w:rsidRDefault="00EE6D4A" w:rsidP="00537DB5">
            <w:pPr>
              <w:ind w:left="108"/>
              <w:rPr>
                <w:rFonts w:eastAsia="MS Mincho"/>
              </w:rPr>
            </w:pPr>
            <w:r>
              <w:rPr>
                <w:rFonts w:eastAsia="MS Mincho"/>
              </w:rPr>
              <w:t>Heidi Glosli, Overlege, Barne- og ungdomsklinikken</w:t>
            </w:r>
            <w:r w:rsidR="009A166B">
              <w:rPr>
                <w:rFonts w:eastAsia="MS Mincho"/>
              </w:rPr>
              <w:t xml:space="preserve"> (pr mail)</w:t>
            </w:r>
          </w:p>
          <w:p w:rsidR="001461EC" w:rsidRDefault="001461EC" w:rsidP="00537DB5">
            <w:pPr>
              <w:ind w:left="108"/>
              <w:rPr>
                <w:rFonts w:eastAsia="MS Mincho"/>
              </w:rPr>
            </w:pPr>
            <w:r>
              <w:rPr>
                <w:rFonts w:eastAsia="MS Mincho"/>
              </w:rPr>
              <w:t>Ann Cecilie Mørk, Fagutviklingssykepleier, Avd for kreft og blodsykd</w:t>
            </w:r>
            <w:r w:rsidR="009A166B">
              <w:rPr>
                <w:rFonts w:eastAsia="MS Mincho"/>
              </w:rPr>
              <w:t>.</w:t>
            </w:r>
            <w:r>
              <w:rPr>
                <w:rFonts w:eastAsia="MS Mincho"/>
              </w:rPr>
              <w:t xml:space="preserve"> hos barn</w:t>
            </w:r>
            <w:r w:rsidR="009A166B">
              <w:rPr>
                <w:rFonts w:eastAsia="MS Mincho"/>
              </w:rPr>
              <w:t>, (pr mail)</w:t>
            </w:r>
          </w:p>
          <w:p w:rsidR="00991D8C" w:rsidRDefault="00537DB5" w:rsidP="002A253A">
            <w:pPr>
              <w:ind w:left="108"/>
              <w:rPr>
                <w:rFonts w:eastAsia="MS Mincho"/>
              </w:rPr>
            </w:pPr>
            <w:r>
              <w:rPr>
                <w:rFonts w:eastAsia="MS Mincho"/>
              </w:rPr>
              <w:t>Laila Irene Bruun, Legemiddelkomiteen</w:t>
            </w:r>
          </w:p>
          <w:p w:rsidR="00E813BB" w:rsidRDefault="00537DB5" w:rsidP="002A253A">
            <w:pPr>
              <w:ind w:left="108"/>
              <w:rPr>
                <w:rFonts w:eastAsia="MS Mincho"/>
              </w:rPr>
            </w:pPr>
            <w:r>
              <w:rPr>
                <w:rFonts w:eastAsia="MS Mincho"/>
              </w:rPr>
              <w:t xml:space="preserve">Anne Grønstad, Legemiddelkomiteen </w:t>
            </w:r>
            <w:r w:rsidR="00C05AB7">
              <w:rPr>
                <w:rFonts w:ascii="MS Mincho" w:eastAsia="MS Mincho" w:hAnsi="MS Mincho" w:cs="MS Mincho" w:hint="eastAsia"/>
              </w:rPr>
              <w:t> </w:t>
            </w:r>
          </w:p>
          <w:p w:rsidR="009A166B" w:rsidRDefault="009A166B" w:rsidP="002A253A">
            <w:pPr>
              <w:ind w:left="108"/>
              <w:rPr>
                <w:rFonts w:eastAsia="MS Mincho"/>
              </w:rPr>
            </w:pPr>
          </w:p>
          <w:p w:rsidR="009A166B" w:rsidRPr="009A166B" w:rsidRDefault="009A166B" w:rsidP="009A166B">
            <w:r w:rsidRPr="009A166B">
              <w:t>Møtereferat</w:t>
            </w:r>
          </w:p>
          <w:p w:rsidR="009A166B" w:rsidRPr="009A166B" w:rsidRDefault="009A166B" w:rsidP="009A166B"/>
          <w:p w:rsidR="009A166B" w:rsidRPr="009A166B" w:rsidRDefault="009A166B" w:rsidP="009A166B">
            <w:r w:rsidRPr="009A166B">
              <w:t xml:space="preserve">Møtetema: </w:t>
            </w:r>
          </w:p>
          <w:p w:rsidR="009A166B" w:rsidRPr="009A166B" w:rsidRDefault="009A166B" w:rsidP="009A166B"/>
          <w:p w:rsidR="009A166B" w:rsidRPr="009A166B" w:rsidRDefault="009A166B" w:rsidP="009A166B">
            <w:r w:rsidRPr="009A166B">
              <w:t>Dato møte:</w:t>
            </w:r>
            <w:r w:rsidRPr="009A166B">
              <w:tab/>
              <w:t>Kan gravide håndtere intakte tabletter og kapsler av kreftlegemidler?</w:t>
            </w:r>
          </w:p>
          <w:p w:rsidR="009A166B" w:rsidRPr="009A166B" w:rsidRDefault="009A166B" w:rsidP="009A166B"/>
          <w:p w:rsidR="009A166B" w:rsidRPr="009A166B" w:rsidRDefault="009A166B" w:rsidP="009A166B">
            <w:r w:rsidRPr="009A166B">
              <w:t>19.10.2021</w:t>
            </w:r>
          </w:p>
          <w:p w:rsidR="009A166B" w:rsidRPr="009A166B" w:rsidRDefault="009A166B" w:rsidP="009A166B">
            <w:r w:rsidRPr="009A166B">
              <w:t>Referent:</w:t>
            </w:r>
            <w:r w:rsidRPr="009A166B">
              <w:tab/>
              <w:t xml:space="preserve">Lisa Mørkrid og Gudveig Storhaug </w:t>
            </w:r>
          </w:p>
          <w:p w:rsidR="009A166B" w:rsidRPr="009A166B" w:rsidRDefault="009A166B" w:rsidP="009A166B">
            <w:r w:rsidRPr="009A166B">
              <w:t>Tilstede:</w:t>
            </w:r>
          </w:p>
          <w:p w:rsidR="009A166B" w:rsidRPr="009A166B" w:rsidRDefault="009A166B" w:rsidP="009A166B"/>
          <w:p w:rsidR="009A166B" w:rsidRPr="009A166B" w:rsidRDefault="009A166B" w:rsidP="009A166B">
            <w:r w:rsidRPr="009A166B">
              <w:t>Ikke tilstede:</w:t>
            </w:r>
            <w:r w:rsidRPr="009A166B">
              <w:tab/>
              <w:t xml:space="preserve">Anne Grønstad; Laila Irene Bruun;  Lisa Mørkrid; Geir Erland Tjønnfjord; Gudveig Storhaug; Pål Brenno; </w:t>
            </w:r>
          </w:p>
          <w:p w:rsidR="009A166B" w:rsidRPr="009A166B" w:rsidRDefault="009A166B" w:rsidP="009A166B"/>
          <w:p w:rsidR="009A166B" w:rsidRPr="009A166B" w:rsidRDefault="009A166B" w:rsidP="009A166B">
            <w:r w:rsidRPr="009A166B">
              <w:t xml:space="preserve">Alexander Fosså; Anja Rolandsson; Ann Cecilie Mørk; Bente Vilming; Eva Britt Valaker Hektner; Hanne, Lesund Kjølen; Heidi Glosli; Helene Negaard; Ida Tørmo; Limou Saba; Silje Hermanrud; Øyvind Melien </w:t>
            </w:r>
          </w:p>
          <w:p w:rsidR="009A166B" w:rsidRPr="009A166B" w:rsidRDefault="009A166B" w:rsidP="009A166B"/>
          <w:p w:rsidR="009A166B" w:rsidRPr="009A166B" w:rsidRDefault="009A166B" w:rsidP="009A166B"/>
          <w:p w:rsidR="009A166B" w:rsidRPr="009A166B" w:rsidRDefault="009A166B" w:rsidP="009A166B">
            <w:r w:rsidRPr="009A166B">
              <w:t>Kan gravide håndtere intakte tabletter og kapsler av kreftlegemidler?</w:t>
            </w:r>
          </w:p>
          <w:p w:rsidR="009A166B" w:rsidRPr="009A166B" w:rsidRDefault="009A166B" w:rsidP="009A166B"/>
          <w:p w:rsidR="009A166B" w:rsidRPr="009A166B" w:rsidRDefault="009A166B" w:rsidP="009A166B">
            <w:r w:rsidRPr="009A166B">
              <w:t xml:space="preserve">Sykehusapoteket ved Lisa Mørkrid har ansvar for å revidere dokumentet Manipulering av tabletter og kapsler - knuse/dele/åpne/løse-listen(sannsynlig tittel). Dokumentet omhandler håndtering av intakte tabletter og kapsler. </w:t>
            </w:r>
          </w:p>
          <w:p w:rsidR="009A166B" w:rsidRPr="009A166B" w:rsidRDefault="009A166B" w:rsidP="009A166B"/>
          <w:p w:rsidR="009A166B" w:rsidRPr="009A166B" w:rsidRDefault="009A166B" w:rsidP="009A166B">
            <w:r w:rsidRPr="009A166B">
              <w:t>Problemstillingen som har kommet opp på ny er om gravide kan håndtere intakte tabletter og kapsler av kreftlegemidler, uavhengig av om det er tradisjonelle cytostatika eller nyere proteinkinasehemmere. Det har tidligere vært skilt på dette med to merknader C og P (se vedlagte presentasjon).</w:t>
            </w:r>
          </w:p>
          <w:p w:rsidR="009A166B" w:rsidRPr="009A166B" w:rsidRDefault="009A166B" w:rsidP="009A166B"/>
          <w:p w:rsidR="009A166B" w:rsidRPr="009A166B" w:rsidRDefault="009A166B" w:rsidP="009A166B">
            <w:r w:rsidRPr="009A166B">
              <w:t xml:space="preserve">Problemstillingen er diskutert på mail med representantene i Utvalg for medikamentell kreftbehandling (UMK). Det var behov for et møte for å kunne diskutere de ulike alternativene grundig. I tillegg til UMK ble representanter fra Legemiddelkomiteen (LMK) og Arbeidsmiljøavdeling ble invitert til møtet. </w:t>
            </w:r>
          </w:p>
          <w:p w:rsidR="009A166B" w:rsidRPr="009A166B" w:rsidRDefault="009A166B" w:rsidP="009A166B"/>
          <w:p w:rsidR="009A166B" w:rsidRPr="009A166B" w:rsidRDefault="009A166B" w:rsidP="009A166B">
            <w:r w:rsidRPr="009A166B">
              <w:t xml:space="preserve">Tre alternativ ble presentert og diskutert på møtet: </w:t>
            </w:r>
          </w:p>
          <w:p w:rsidR="009A166B" w:rsidRPr="009A166B" w:rsidRDefault="009A166B" w:rsidP="009A166B"/>
          <w:p w:rsidR="009A166B" w:rsidRPr="009A166B" w:rsidRDefault="009A166B" w:rsidP="009A166B">
            <w:r w:rsidRPr="009A166B">
              <w:t xml:space="preserve">Alternativ 1: </w:t>
            </w:r>
          </w:p>
          <w:p w:rsidR="009A166B" w:rsidRPr="009A166B" w:rsidRDefault="009A166B" w:rsidP="009A166B">
            <w:r w:rsidRPr="009A166B">
              <w:t>•</w:t>
            </w:r>
            <w:r w:rsidRPr="009A166B">
              <w:tab/>
              <w:t xml:space="preserve"> (K): Kreftlegemiddel (celleskadelig) Helsepersonell bør ikke berøre tabletter eller kapsler uten hansker. Hendene må vaskes før og etter at hanskene er brukt. Avtrekksskap (eller sikkerhetsbenk), samt doble hansker og barrierefrakk benyttes ved manipulering av tabletter eller kapsler, se prosedyre (DokumentID: 3301). (G): Gravide skal ikke knuse/dele/åpne eller løse opp tabletter/kapsler, men kan håndtere intakte/hele tabletter/kapsler forutsatt bruk av hansker.</w:t>
            </w:r>
          </w:p>
          <w:p w:rsidR="009A166B" w:rsidRPr="009A166B" w:rsidRDefault="009A166B" w:rsidP="009A166B">
            <w:r w:rsidRPr="009A166B">
              <w:t>•</w:t>
            </w:r>
            <w:r w:rsidRPr="009A166B">
              <w:tab/>
              <w:t>NIOSH anser dette som trygt</w:t>
            </w:r>
          </w:p>
          <w:p w:rsidR="009A166B" w:rsidRPr="009A166B" w:rsidRDefault="009A166B" w:rsidP="009A166B">
            <w:r w:rsidRPr="009A166B">
              <w:t>•</w:t>
            </w:r>
            <w:r w:rsidRPr="009A166B">
              <w:tab/>
              <w:t>Ulempe: gravide må huske at man ikke kan administrere dersom det blir behov for manipulering</w:t>
            </w:r>
          </w:p>
          <w:p w:rsidR="009A166B" w:rsidRPr="009A166B" w:rsidRDefault="009A166B" w:rsidP="009A166B"/>
          <w:p w:rsidR="009A166B" w:rsidRPr="009A166B" w:rsidRDefault="009A166B" w:rsidP="009A166B">
            <w:r w:rsidRPr="009A166B">
              <w:t>Alternativ 2:</w:t>
            </w:r>
          </w:p>
          <w:p w:rsidR="009A166B" w:rsidRPr="009A166B" w:rsidRDefault="009A166B" w:rsidP="009A166B">
            <w:r w:rsidRPr="009A166B">
              <w:t>•</w:t>
            </w:r>
            <w:r w:rsidRPr="009A166B">
              <w:tab/>
              <w:t>(K): Kreftlegemiddel (celleskadelig). Helsepersonell bør ikke berøre tabletter eller kapsler uten hansker. Hendene må vaskes før og etter at hanskene er brukt. Avtrekksskap (eller sikkerhetsbenk), samt doble hansker og barrierefrakk benyttes ved manipulering av tabletter eller kapsler, se prosedyre (DokumentID: 3301). Skal ikke håndteres av gravide.</w:t>
            </w:r>
          </w:p>
          <w:p w:rsidR="009A166B" w:rsidRPr="009A166B" w:rsidRDefault="009A166B" w:rsidP="009A166B">
            <w:r w:rsidRPr="009A166B">
              <w:t>•</w:t>
            </w:r>
            <w:r w:rsidRPr="009A166B">
              <w:tab/>
              <w:t>Føre var, og entydig regel. (Men ingen krise dersom det ikke alltid fanges opp hvilket legemiddel som gis..)</w:t>
            </w:r>
          </w:p>
          <w:p w:rsidR="009A166B" w:rsidRPr="009A166B" w:rsidRDefault="009A166B" w:rsidP="009A166B">
            <w:r w:rsidRPr="009A166B">
              <w:t>•</w:t>
            </w:r>
            <w:r w:rsidRPr="009A166B">
              <w:tab/>
              <w:t>Ulempe: økt bemanningsbehov?</w:t>
            </w:r>
          </w:p>
          <w:p w:rsidR="009A166B" w:rsidRPr="009A166B" w:rsidRDefault="009A166B" w:rsidP="009A166B"/>
          <w:p w:rsidR="009A166B" w:rsidRPr="009A166B" w:rsidRDefault="009A166B" w:rsidP="009A166B">
            <w:r w:rsidRPr="009A166B">
              <w:t>Alternativ 3:</w:t>
            </w:r>
          </w:p>
          <w:p w:rsidR="009A166B" w:rsidRPr="009A166B" w:rsidRDefault="009A166B" w:rsidP="009A166B">
            <w:r w:rsidRPr="009A166B">
              <w:t>•</w:t>
            </w:r>
            <w:r w:rsidRPr="009A166B">
              <w:tab/>
              <w:t>Beholde gjeldende praksis og ikke slå merknadene sammen.  Dette alternativet klinger ikke harmonisk faglig sett.</w:t>
            </w:r>
          </w:p>
          <w:p w:rsidR="009A166B" w:rsidRPr="009A166B" w:rsidRDefault="009A166B" w:rsidP="009A166B"/>
          <w:p w:rsidR="009A166B" w:rsidRPr="009A166B" w:rsidRDefault="009A166B" w:rsidP="009A166B"/>
          <w:p w:rsidR="009A166B" w:rsidRPr="009A166B" w:rsidRDefault="009A166B" w:rsidP="009A166B">
            <w:r w:rsidRPr="009A166B">
              <w:t>Konklusjon</w:t>
            </w:r>
          </w:p>
          <w:p w:rsidR="009A166B" w:rsidRPr="009A166B" w:rsidRDefault="009A166B" w:rsidP="009A166B">
            <w:r w:rsidRPr="009A166B">
              <w:t xml:space="preserve">Alternativene ble grundig diskutert av de fremmøtte og man kom frem til enighet om å gå for Alternativ 1. Med gode rutiner som hanskebruk og håndvask etter at hanskene er tatt av, utgjør administreringen av intakte kapsler/tabletter ingen risiko for gravide. </w:t>
            </w:r>
          </w:p>
          <w:p w:rsidR="009A166B" w:rsidRPr="009A166B" w:rsidRDefault="009A166B" w:rsidP="009A166B"/>
          <w:p w:rsidR="009A166B" w:rsidRPr="009A166B" w:rsidRDefault="009A166B" w:rsidP="009A166B"/>
          <w:p w:rsidR="009A166B" w:rsidRPr="009A166B" w:rsidRDefault="009A166B" w:rsidP="009A166B">
            <w:r w:rsidRPr="009A166B">
              <w:t xml:space="preserve">Vedlegg: Presentasjon av problemstilling ved Lisa Mørkrid: </w:t>
            </w:r>
          </w:p>
          <w:p w:rsidR="009A166B" w:rsidRPr="009A166B" w:rsidRDefault="009A166B" w:rsidP="009A166B"/>
          <w:p w:rsidR="009A166B" w:rsidRPr="009A166B" w:rsidRDefault="009A166B" w:rsidP="009A166B"/>
          <w:p w:rsidR="009A166B" w:rsidRPr="009A166B" w:rsidRDefault="009A166B" w:rsidP="009A166B"/>
          <w:p w:rsidR="009A166B" w:rsidRPr="009A166B" w:rsidRDefault="009A166B" w:rsidP="009A166B">
            <w:r w:rsidRPr="009A166B">
              <w:tab/>
            </w:r>
          </w:p>
          <w:p w:rsidR="009A166B" w:rsidRDefault="009A166B" w:rsidP="002A253A">
            <w:pPr>
              <w:ind w:left="108"/>
              <w:rPr>
                <w:rFonts w:eastAsia="MS Mincho"/>
              </w:rPr>
            </w:pPr>
          </w:p>
          <w:p w:rsidR="009A166B" w:rsidRDefault="009A166B" w:rsidP="002A253A">
            <w:pPr>
              <w:ind w:left="108"/>
              <w:rPr>
                <w:rFonts w:eastAsia="MS Mincho"/>
              </w:rPr>
            </w:pPr>
          </w:p>
          <w:p w:rsidR="009A166B" w:rsidRDefault="009A166B" w:rsidP="002A253A">
            <w:pPr>
              <w:ind w:left="108"/>
              <w:rPr>
                <w:rFonts w:eastAsia="MS Mincho"/>
              </w:rPr>
            </w:pPr>
          </w:p>
          <w:p w:rsidR="00991D8C" w:rsidRDefault="00991D8C" w:rsidP="002A253A">
            <w:pPr>
              <w:ind w:left="108"/>
              <w:rPr>
                <w:rFonts w:eastAsia="MS Mincho"/>
              </w:rPr>
            </w:pPr>
          </w:p>
          <w:p w:rsidR="00E813BB" w:rsidRDefault="00E813BB" w:rsidP="002A253A">
            <w:pPr>
              <w:ind w:left="108"/>
              <w:rPr>
                <w:rFonts w:eastAsia="MS Mincho"/>
              </w:rPr>
            </w:pPr>
            <w:r>
              <w:rPr>
                <w:rFonts w:eastAsia="MS Mincho" w:hint="eastAsia"/>
              </w:rPr>
              <w:t>H</w:t>
            </w:r>
            <w:r>
              <w:rPr>
                <w:rFonts w:eastAsia="MS Mincho"/>
              </w:rPr>
              <w:t>istorikk:</w:t>
            </w:r>
          </w:p>
          <w:p w:rsidR="00E813BB" w:rsidRPr="00E813BB" w:rsidRDefault="00E813BB" w:rsidP="00E813BB">
            <w:r w:rsidRPr="00E813BB">
              <w:t>Versjon 0 av retningslinjen ble opprinnelig utarbeidet av Legemiddelhåndteringsutvalget (LMHU), et underutvalg til Legemiddelkomiteen (LMK). LMHU er sammensatt av leger, sykepleiere og farmasøyter.</w:t>
            </w:r>
          </w:p>
          <w:p w:rsidR="00E813BB" w:rsidRPr="00E813BB" w:rsidRDefault="00E813BB" w:rsidP="00E813BB"/>
          <w:p w:rsidR="00E813BB" w:rsidRPr="00E813BB" w:rsidRDefault="00E813BB" w:rsidP="00E813BB">
            <w:r w:rsidRPr="00E813BB">
              <w:t>Versjon 1: Lagt til flere preparater på knuse-/delelisten.</w:t>
            </w:r>
          </w:p>
          <w:p w:rsidR="00E813BB" w:rsidRPr="00E813BB" w:rsidRDefault="00E813BB" w:rsidP="00E813BB">
            <w:r w:rsidRPr="00E813BB">
              <w:t>Versjon 2: Endret tittel ved at «inklusiv knuse-/delelisten» er tatt med.</w:t>
            </w:r>
          </w:p>
          <w:p w:rsidR="00E813BB" w:rsidRPr="00E813BB" w:rsidRDefault="00E813BB" w:rsidP="00E813BB">
            <w:r w:rsidRPr="00E813BB">
              <w:t xml:space="preserve">                   Endret bunntekst i selve knuse-/delelisten.</w:t>
            </w:r>
          </w:p>
          <w:p w:rsidR="00E813BB" w:rsidRPr="00E813BB" w:rsidRDefault="00E813BB" w:rsidP="00E813BB">
            <w:r w:rsidRPr="00E813BB">
              <w:t>Versjon 3: Endret årstallet fra 2012 til 2013 i selve knuse-/delelisten.</w:t>
            </w:r>
          </w:p>
          <w:p w:rsidR="00E813BB" w:rsidRPr="00E813BB" w:rsidRDefault="00E813BB" w:rsidP="00E813BB">
            <w:r w:rsidRPr="00E813BB">
              <w:t xml:space="preserve">Versjon 4 og 5: Hele retningslinjen er revidert, inkludert knuse‐/delelisten. Arbeidsgruppen har bestått av: </w:t>
            </w:r>
          </w:p>
          <w:p w:rsidR="00E813BB" w:rsidRPr="00E813BB" w:rsidRDefault="00E813BB" w:rsidP="00E813BB">
            <w:r w:rsidRPr="00E813BB">
              <w:t>•</w:t>
            </w:r>
            <w:r w:rsidRPr="00E813BB">
              <w:tab/>
              <w:t>Kari Christiane Fougner Bjerknes, farmasøyt, Sykehusapotekene HF</w:t>
            </w:r>
          </w:p>
          <w:p w:rsidR="00E813BB" w:rsidRPr="00E813BB" w:rsidRDefault="00E813BB" w:rsidP="00E813BB">
            <w:r w:rsidRPr="00E813BB">
              <w:t>•</w:t>
            </w:r>
            <w:r w:rsidRPr="00E813BB">
              <w:tab/>
              <w:t>Line Buan, farmasøyt, Sykehusapotekene HF</w:t>
            </w:r>
          </w:p>
          <w:p w:rsidR="00E813BB" w:rsidRPr="00E813BB" w:rsidRDefault="00E813BB" w:rsidP="00E813BB">
            <w:r w:rsidRPr="00E813BB">
              <w:t>•</w:t>
            </w:r>
            <w:r w:rsidRPr="00E813BB">
              <w:tab/>
              <w:t>Stine Eidhammer Rognan, farmasøyt, Sykehusapotekene HF</w:t>
            </w:r>
          </w:p>
          <w:p w:rsidR="00E813BB" w:rsidRPr="00E813BB" w:rsidRDefault="00E813BB" w:rsidP="00E813BB">
            <w:r w:rsidRPr="00E813BB">
              <w:t>•</w:t>
            </w:r>
            <w:r w:rsidRPr="00E813BB">
              <w:tab/>
              <w:t>Marta Vucovic, farmasøyt, Sykehusapotekene HF</w:t>
            </w:r>
          </w:p>
          <w:p w:rsidR="00E813BB" w:rsidRPr="00E813BB" w:rsidRDefault="00E813BB" w:rsidP="00E813BB">
            <w:r w:rsidRPr="00E813BB">
              <w:t>•</w:t>
            </w:r>
            <w:r w:rsidRPr="00E813BB">
              <w:tab/>
              <w:t>Elisabeth Pedersen, farmasøyt, Sykehusapotekene HF</w:t>
            </w:r>
          </w:p>
          <w:p w:rsidR="00E813BB" w:rsidRPr="00E813BB" w:rsidRDefault="00E813BB" w:rsidP="00E813BB">
            <w:r w:rsidRPr="00E813BB">
              <w:t>•</w:t>
            </w:r>
            <w:r w:rsidRPr="00E813BB">
              <w:tab/>
              <w:t>Anne Fjørkenstad, farmasøyt, Sykehusapotekene HF</w:t>
            </w:r>
          </w:p>
          <w:p w:rsidR="00E813BB" w:rsidRPr="00E813BB" w:rsidRDefault="00E813BB" w:rsidP="00E813BB">
            <w:r w:rsidRPr="00E813BB">
              <w:t>•</w:t>
            </w:r>
            <w:r w:rsidRPr="00E813BB">
              <w:tab/>
              <w:t>Cathrine Lundstrøm, farmasøyt, Sykehusapoteket i Skien</w:t>
            </w:r>
          </w:p>
          <w:p w:rsidR="00E813BB" w:rsidRPr="00E813BB" w:rsidRDefault="00E813BB" w:rsidP="00E813BB">
            <w:r w:rsidRPr="00E813BB">
              <w:t>•</w:t>
            </w:r>
            <w:r w:rsidRPr="00E813BB">
              <w:tab/>
              <w:t>Hanne Elin Brummenæs, farmasøyt, Sykehusapoteket i Haugesund</w:t>
            </w:r>
          </w:p>
          <w:p w:rsidR="00E813BB" w:rsidRPr="00E813BB" w:rsidRDefault="00E813BB" w:rsidP="00E813BB">
            <w:r w:rsidRPr="00E813BB">
              <w:t>•</w:t>
            </w:r>
            <w:r w:rsidRPr="00E813BB">
              <w:tab/>
              <w:t>Annlaug Mo Norheim, farmasøyt, Sykehusapoteket i Bergen</w:t>
            </w:r>
          </w:p>
          <w:p w:rsidR="00E813BB" w:rsidRPr="00E813BB" w:rsidRDefault="00E813BB" w:rsidP="00E813BB">
            <w:r w:rsidRPr="00E813BB">
              <w:t>•</w:t>
            </w:r>
            <w:r w:rsidRPr="00E813BB">
              <w:tab/>
              <w:t>Laila Bruun, farmasøyt, Legemiddelkomitéen, OUS</w:t>
            </w:r>
          </w:p>
          <w:p w:rsidR="00E813BB" w:rsidRPr="00E813BB" w:rsidRDefault="00E813BB" w:rsidP="00E813BB">
            <w:r w:rsidRPr="00E813BB">
              <w:t>•</w:t>
            </w:r>
            <w:r w:rsidRPr="00E813BB">
              <w:tab/>
              <w:t>Gudveig Storhaug, fagutviklingssykepleier, Cytostatikautvalget</w:t>
            </w:r>
          </w:p>
          <w:p w:rsidR="00E813BB" w:rsidRPr="00E813BB" w:rsidRDefault="00E813BB" w:rsidP="00E813BB">
            <w:r w:rsidRPr="00E813BB">
              <w:t>•</w:t>
            </w:r>
            <w:r w:rsidRPr="00E813BB">
              <w:tab/>
              <w:t>Ingun Heiene Tveteraas, overlege, Antibiotikateamet</w:t>
            </w:r>
          </w:p>
          <w:p w:rsidR="00E813BB" w:rsidRPr="00E813BB" w:rsidRDefault="00E813BB" w:rsidP="00E813BB"/>
          <w:p w:rsidR="00E813BB" w:rsidRPr="00E813BB" w:rsidRDefault="00E813BB" w:rsidP="00E813BB">
            <w:r w:rsidRPr="00E813BB">
              <w:t xml:space="preserve">Versjon 6: </w:t>
            </w:r>
          </w:p>
          <w:p w:rsidR="00E813BB" w:rsidRPr="00E813BB" w:rsidRDefault="00E813BB" w:rsidP="00E813BB">
            <w:r w:rsidRPr="00E813BB">
              <w:t>•</w:t>
            </w:r>
            <w:r w:rsidRPr="00E813BB">
              <w:tab/>
              <w:t>Det er ikke gjort en fullstendig revidering av listen.</w:t>
            </w:r>
          </w:p>
          <w:p w:rsidR="00E813BB" w:rsidRPr="00E813BB" w:rsidRDefault="00E813BB" w:rsidP="00E813BB">
            <w:r w:rsidRPr="00E813BB">
              <w:t>•</w:t>
            </w:r>
            <w:r w:rsidRPr="00E813BB">
              <w:tab/>
              <w:t xml:space="preserve">Alle merknadene, unntatt OBS-merknaden, er endret. </w:t>
            </w:r>
          </w:p>
          <w:p w:rsidR="00E813BB" w:rsidRPr="00E813BB" w:rsidRDefault="00E813BB" w:rsidP="00E813BB">
            <w:r w:rsidRPr="00E813BB">
              <w:t>•</w:t>
            </w:r>
            <w:r w:rsidRPr="00E813BB">
              <w:tab/>
              <w:t>Proteinkinasehemmere har fått egen merknad (P-merknad).</w:t>
            </w:r>
          </w:p>
          <w:p w:rsidR="00E813BB" w:rsidRPr="00E813BB" w:rsidRDefault="00E813BB" w:rsidP="00E813BB">
            <w:r w:rsidRPr="00E813BB">
              <w:t>•</w:t>
            </w:r>
            <w:r w:rsidRPr="00E813BB">
              <w:tab/>
              <w:t>Det er gjort endring i listen for følgende legemidler: Mimpara, Cinacalcet, Thalidomid, Albyl-e, Acetylsalisylsyre, Cellcept, Sandimmun, Rapamune, Certican, Advagraf, Revlimid, Targretin, og Adalat.</w:t>
            </w:r>
          </w:p>
          <w:p w:rsidR="00E813BB" w:rsidRPr="00E813BB" w:rsidRDefault="00E813BB" w:rsidP="00E813BB">
            <w:r w:rsidRPr="00E813BB">
              <w:t>•</w:t>
            </w:r>
            <w:r w:rsidRPr="00E813BB">
              <w:tab/>
              <w:t xml:space="preserve">Det er 28 nye legemidler i listen. </w:t>
            </w:r>
          </w:p>
          <w:p w:rsidR="00E813BB" w:rsidRPr="00E813BB" w:rsidRDefault="00E813BB" w:rsidP="00E813BB">
            <w:r w:rsidRPr="00E813BB">
              <w:t>•</w:t>
            </w:r>
            <w:r w:rsidRPr="00E813BB">
              <w:tab/>
              <w:t xml:space="preserve">Konklusjon nr. 11 «Ved akutt/truende hjerteinfarkt/TIA bør 1.dose deles, knuses eller tygges.» er fjernet. </w:t>
            </w:r>
          </w:p>
          <w:p w:rsidR="00E813BB" w:rsidRPr="00E813BB" w:rsidRDefault="00E813BB" w:rsidP="00E813BB">
            <w:r w:rsidRPr="00E813BB">
              <w:t>•</w:t>
            </w:r>
            <w:r w:rsidRPr="00E813BB">
              <w:tab/>
              <w:t>Konklusjon nr. 20 har flyttet plass til nr. 11.</w:t>
            </w:r>
          </w:p>
          <w:p w:rsidR="00E813BB" w:rsidRPr="00E813BB" w:rsidRDefault="00E813BB" w:rsidP="00E813BB"/>
          <w:p w:rsidR="00E813BB" w:rsidRPr="00E813BB" w:rsidRDefault="00E813BB" w:rsidP="00E813BB">
            <w:r w:rsidRPr="00E813BB">
              <w:t xml:space="preserve">Arbeidsgruppen har bestått av: </w:t>
            </w:r>
          </w:p>
          <w:p w:rsidR="00E813BB" w:rsidRPr="00E813BB" w:rsidRDefault="00E813BB" w:rsidP="00E813BB">
            <w:r w:rsidRPr="00E813BB">
              <w:t>•</w:t>
            </w:r>
            <w:r w:rsidRPr="00E813BB">
              <w:tab/>
              <w:t>Kari Christiane Fougner Bjerknes, farmasøyt, Sykehusapotekene HF</w:t>
            </w:r>
          </w:p>
          <w:p w:rsidR="00E813BB" w:rsidRPr="00E813BB" w:rsidRDefault="00E813BB" w:rsidP="00E813BB">
            <w:r w:rsidRPr="00E813BB">
              <w:t>•</w:t>
            </w:r>
            <w:r w:rsidRPr="00E813BB">
              <w:tab/>
              <w:t>Line Buan, farmasøyt, Sykehusapotekene HF</w:t>
            </w:r>
          </w:p>
          <w:p w:rsidR="00E813BB" w:rsidRPr="00E813BB" w:rsidRDefault="00E813BB" w:rsidP="00E813BB">
            <w:r w:rsidRPr="00E813BB">
              <w:t>•</w:t>
            </w:r>
            <w:r w:rsidRPr="00E813BB">
              <w:tab/>
              <w:t>Laila Bruun, farmasøyt, Legemiddelkomitéen, OUS</w:t>
            </w:r>
          </w:p>
          <w:p w:rsidR="00E813BB" w:rsidRPr="00E813BB" w:rsidRDefault="00E813BB" w:rsidP="00E813BB"/>
          <w:p w:rsidR="00E813BB" w:rsidRPr="00E813BB" w:rsidRDefault="00E813BB" w:rsidP="00E813BB">
            <w:r w:rsidRPr="00E813BB">
              <w:t>Versjon 7:</w:t>
            </w:r>
          </w:p>
          <w:p w:rsidR="00E813BB" w:rsidRPr="00E813BB" w:rsidRDefault="00E813BB" w:rsidP="00E813BB">
            <w:r w:rsidRPr="00E813BB">
              <w:t>•</w:t>
            </w:r>
            <w:r w:rsidRPr="00E813BB">
              <w:tab/>
              <w:t>Det er ikke gjort en fullstendig revidering av listen</w:t>
            </w:r>
          </w:p>
          <w:p w:rsidR="00E813BB" w:rsidRPr="00E813BB" w:rsidRDefault="00E813BB" w:rsidP="00E813BB">
            <w:r w:rsidRPr="00E813BB">
              <w:t>•</w:t>
            </w:r>
            <w:r w:rsidRPr="00E813BB">
              <w:tab/>
              <w:t>Alle konklusjonene er revidert</w:t>
            </w:r>
          </w:p>
          <w:p w:rsidR="00E813BB" w:rsidRPr="00E813BB" w:rsidRDefault="00E813BB" w:rsidP="00E813BB">
            <w:r w:rsidRPr="00E813BB">
              <w:t>•</w:t>
            </w:r>
            <w:r w:rsidRPr="00E813BB">
              <w:tab/>
              <w:t>Det er 56 nye legemidler på listen.</w:t>
            </w:r>
          </w:p>
          <w:p w:rsidR="00E813BB" w:rsidRPr="00E813BB" w:rsidRDefault="00E813BB" w:rsidP="00E813BB">
            <w:r w:rsidRPr="00E813BB">
              <w:t>Arbeidsgruppen har bestått av:</w:t>
            </w:r>
          </w:p>
          <w:p w:rsidR="00E813BB" w:rsidRPr="00E813BB" w:rsidRDefault="00E813BB" w:rsidP="00E813BB">
            <w:r w:rsidRPr="00E813BB">
              <w:t>•</w:t>
            </w:r>
            <w:r w:rsidRPr="00E813BB">
              <w:tab/>
              <w:t xml:space="preserve"> Kari Christiane Fougner Bjerknes, farmasøyt, Sykehusapotekene HF</w:t>
            </w:r>
          </w:p>
          <w:p w:rsidR="00E813BB" w:rsidRPr="00E813BB" w:rsidRDefault="00E813BB" w:rsidP="00E813BB">
            <w:r w:rsidRPr="00E813BB">
              <w:t>•</w:t>
            </w:r>
            <w:r w:rsidRPr="00E813BB">
              <w:tab/>
              <w:t>Lloyd Mbugua Kangu, farmasøyt, Sykehusapotekene HF</w:t>
            </w:r>
          </w:p>
          <w:p w:rsidR="00E813BB" w:rsidRPr="00E813BB" w:rsidRDefault="00E813BB" w:rsidP="00E813BB">
            <w:r w:rsidRPr="00E813BB">
              <w:t>•</w:t>
            </w:r>
            <w:r w:rsidRPr="00E813BB">
              <w:tab/>
              <w:t>Laila Bruun, farmasøyt, Legemiddelkomitéen, OUS</w:t>
            </w:r>
          </w:p>
          <w:p w:rsidR="00E813BB" w:rsidRPr="00E813BB" w:rsidRDefault="00E813BB" w:rsidP="00E813BB"/>
          <w:p w:rsidR="00E813BB" w:rsidRPr="00E813BB" w:rsidRDefault="00E813BB" w:rsidP="00E813BB">
            <w:r w:rsidRPr="00E813BB">
              <w:t>Versjon 8:</w:t>
            </w:r>
          </w:p>
          <w:p w:rsidR="00E813BB" w:rsidRPr="00E813BB" w:rsidRDefault="00E813BB" w:rsidP="00E813BB">
            <w:r w:rsidRPr="00E813BB">
              <w:t>•</w:t>
            </w:r>
            <w:r w:rsidRPr="00E813BB">
              <w:tab/>
              <w:t>Det er ikke gjort en fullstendig revidering av listen</w:t>
            </w:r>
          </w:p>
          <w:p w:rsidR="00E813BB" w:rsidRPr="00E813BB" w:rsidRDefault="00E813BB" w:rsidP="00E813BB">
            <w:r w:rsidRPr="00E813BB">
              <w:t>•</w:t>
            </w:r>
            <w:r w:rsidRPr="00E813BB">
              <w:tab/>
              <w:t>Det er 4 nye legemidler på listen grunnet mangel på ranitidin.</w:t>
            </w:r>
          </w:p>
          <w:p w:rsidR="00E813BB" w:rsidRPr="00E813BB" w:rsidRDefault="00E813BB" w:rsidP="00E813BB"/>
          <w:p w:rsidR="00E813BB" w:rsidRPr="00E813BB" w:rsidRDefault="00E813BB" w:rsidP="00E813BB">
            <w:r w:rsidRPr="00E813BB">
              <w:t>Arbeidsgruppen har bestått av:</w:t>
            </w:r>
          </w:p>
          <w:p w:rsidR="00E813BB" w:rsidRPr="00E813BB" w:rsidRDefault="00E813BB" w:rsidP="00E813BB">
            <w:r w:rsidRPr="00E813BB">
              <w:t>•</w:t>
            </w:r>
            <w:r w:rsidRPr="00E813BB">
              <w:tab/>
              <w:t>Kari Christiane Fougner Bjerknes, farmasøyt, Sykehusapotekene HF</w:t>
            </w:r>
          </w:p>
          <w:p w:rsidR="00E813BB" w:rsidRPr="00E813BB" w:rsidRDefault="00E813BB" w:rsidP="00E813BB">
            <w:r w:rsidRPr="00E813BB">
              <w:t>•</w:t>
            </w:r>
            <w:r w:rsidRPr="00E813BB">
              <w:tab/>
              <w:t>Lisa Mørkrid Lundstrøm, farmasøyt, Sykehusapotekene HF</w:t>
            </w:r>
          </w:p>
          <w:p w:rsidR="00E813BB" w:rsidRPr="00E813BB" w:rsidRDefault="00E813BB" w:rsidP="00E813BB">
            <w:r w:rsidRPr="00E813BB">
              <w:t>•</w:t>
            </w:r>
            <w:r w:rsidRPr="00E813BB">
              <w:tab/>
              <w:t>Lloyd Mbugua Kangu, farmasøyt, Sykehusapotekene HF</w:t>
            </w:r>
          </w:p>
          <w:p w:rsidR="00E813BB" w:rsidRPr="00E813BB" w:rsidRDefault="00E813BB" w:rsidP="00E813BB"/>
          <w:p w:rsidR="00E813BB" w:rsidRPr="00E813BB" w:rsidRDefault="00E813BB" w:rsidP="00E813BB">
            <w:r w:rsidRPr="00E813BB">
              <w:t>Versjon 9:</w:t>
            </w:r>
          </w:p>
          <w:p w:rsidR="00E813BB" w:rsidRPr="00E813BB" w:rsidRDefault="00E813BB" w:rsidP="00E813BB">
            <w:r w:rsidRPr="00E813BB">
              <w:t>•</w:t>
            </w:r>
            <w:r w:rsidRPr="00E813BB">
              <w:tab/>
              <w:t>Det er ikke gjort en fullstendig revidering av listen</w:t>
            </w:r>
          </w:p>
          <w:p w:rsidR="00E813BB" w:rsidRPr="00E813BB" w:rsidRDefault="00E813BB" w:rsidP="00E813BB">
            <w:r w:rsidRPr="00E813BB">
              <w:t>•</w:t>
            </w:r>
            <w:r w:rsidRPr="00E813BB">
              <w:tab/>
              <w:t>Det er lagt til firmanavn på samtlige av legemidlene på listen</w:t>
            </w:r>
          </w:p>
          <w:p w:rsidR="00E813BB" w:rsidRPr="00E813BB" w:rsidRDefault="00E813BB" w:rsidP="00E813BB">
            <w:r w:rsidRPr="00E813BB">
              <w:t>•</w:t>
            </w:r>
            <w:r w:rsidRPr="00E813BB">
              <w:tab/>
              <w:t>Det er 19 nye legemidler på listen</w:t>
            </w:r>
          </w:p>
          <w:p w:rsidR="00E813BB" w:rsidRPr="00E813BB" w:rsidRDefault="00E813BB" w:rsidP="00E813BB">
            <w:r w:rsidRPr="00E813BB">
              <w:t>•</w:t>
            </w:r>
            <w:r w:rsidRPr="00E813BB">
              <w:tab/>
              <w:t>Det er 4 legemidler som har endret navn</w:t>
            </w:r>
          </w:p>
          <w:p w:rsidR="00E813BB" w:rsidRPr="00E813BB" w:rsidRDefault="00E813BB" w:rsidP="00E813BB">
            <w:r w:rsidRPr="00E813BB">
              <w:t>•</w:t>
            </w:r>
            <w:r w:rsidRPr="00E813BB">
              <w:tab/>
              <w:t>Det er 3 legemidler som allerede er på listen som har blitt revidert</w:t>
            </w:r>
          </w:p>
          <w:p w:rsidR="00E813BB" w:rsidRPr="00E813BB" w:rsidRDefault="00E813BB" w:rsidP="00E813BB">
            <w:r w:rsidRPr="00E813BB">
              <w:t>•</w:t>
            </w:r>
            <w:r w:rsidRPr="00E813BB">
              <w:tab/>
            </w:r>
          </w:p>
          <w:p w:rsidR="00E813BB" w:rsidRPr="00E813BB" w:rsidRDefault="00E813BB" w:rsidP="00E813BB">
            <w:r w:rsidRPr="00E813BB">
              <w:t>Arbeidsgruppen har bestått av:</w:t>
            </w:r>
          </w:p>
          <w:p w:rsidR="00E813BB" w:rsidRPr="00E813BB" w:rsidRDefault="00E813BB" w:rsidP="00E813BB">
            <w:r w:rsidRPr="00E813BB">
              <w:t>•</w:t>
            </w:r>
            <w:r w:rsidRPr="00E813BB">
              <w:tab/>
              <w:t>Kari Christiane Fougner Bjerknes, farmasøyt, Sykehusapotekene HF</w:t>
            </w:r>
          </w:p>
          <w:p w:rsidR="00E813BB" w:rsidRPr="00E813BB" w:rsidRDefault="00E813BB" w:rsidP="00E813BB">
            <w:r w:rsidRPr="00E813BB">
              <w:t>•</w:t>
            </w:r>
            <w:r w:rsidRPr="00E813BB">
              <w:tab/>
              <w:t>Lisa Mørkrid Lundstrøm, farmasøyt, Sykehusapotekene HF</w:t>
            </w:r>
          </w:p>
          <w:p w:rsidR="00E813BB" w:rsidRPr="00E813BB" w:rsidRDefault="00E813BB" w:rsidP="00E813BB">
            <w:r w:rsidRPr="00E813BB">
              <w:t>•</w:t>
            </w:r>
            <w:r w:rsidRPr="00E813BB">
              <w:tab/>
              <w:t>Lloyd Mbugua Kangu, farmasøyt, Sykehusapotekene HF</w:t>
            </w:r>
          </w:p>
          <w:p w:rsidR="00E813BB" w:rsidRDefault="00E813BB" w:rsidP="002A253A">
            <w:pPr>
              <w:ind w:left="108"/>
              <w:rPr>
                <w:rFonts w:eastAsia="MS Mincho"/>
              </w:rPr>
            </w:pPr>
          </w:p>
          <w:p w:rsidR="009C5AB9" w:rsidRDefault="00C05AB7" w:rsidP="002A253A">
            <w:pPr>
              <w:ind w:left="108"/>
            </w:pPr>
            <w:r>
              <w:fldChar w:fldCharType="end"/>
            </w:r>
          </w:p>
        </w:tc>
      </w:tr>
      <w:tr w:rsidR="009C5AB9" w:rsidTr="000E2422">
        <w:trPr>
          <w:trHeight w:val="1975"/>
        </w:trPr>
        <w:tc>
          <w:tcPr>
            <w:tcW w:w="2943" w:type="dxa"/>
            <w:shd w:val="clear" w:color="auto" w:fill="F3F3F3"/>
          </w:tcPr>
          <w:p w:rsidR="009C5AB9" w:rsidRDefault="009C5AB9" w:rsidP="00BE1B39">
            <w:pPr>
              <w:pStyle w:val="Brdtekst"/>
              <w:spacing w:before="60" w:after="60"/>
              <w:ind w:left="108" w:right="141"/>
              <w:rPr>
                <w:b/>
                <w:bCs/>
              </w:rPr>
            </w:pPr>
            <w:r>
              <w:rPr>
                <w:b/>
                <w:bCs/>
              </w:rPr>
              <w:lastRenderedPageBreak/>
              <w:t>5</w:t>
            </w:r>
            <w:r w:rsidR="00C3480F">
              <w:rPr>
                <w:b/>
                <w:bCs/>
              </w:rPr>
              <w:t>.</w:t>
            </w:r>
            <w:r>
              <w:rPr>
                <w:b/>
                <w:bCs/>
              </w:rPr>
              <w:t xml:space="preserve"> Synspunkter og preferanser fra målgruppen </w:t>
            </w:r>
            <w:r w:rsidRPr="00C74BB8">
              <w:rPr>
                <w:bCs/>
              </w:rPr>
              <w:t>(pasienter, befolkningen, pasient</w:t>
            </w:r>
            <w:r w:rsidR="00C74BB8" w:rsidRPr="00C74BB8">
              <w:rPr>
                <w:bCs/>
              </w:rPr>
              <w:t>-</w:t>
            </w:r>
            <w:r w:rsidRPr="00C74BB8">
              <w:rPr>
                <w:bCs/>
              </w:rPr>
              <w:t>organisasjoner, brukerråd etc)</w:t>
            </w:r>
            <w:r>
              <w:rPr>
                <w:b/>
                <w:bCs/>
              </w:rPr>
              <w:t xml:space="preserve"> som dokumenter gjelder for er forsøkt </w:t>
            </w:r>
            <w:r w:rsidR="00C74BB8">
              <w:rPr>
                <w:b/>
                <w:bCs/>
              </w:rPr>
              <w:t>inkludert</w:t>
            </w:r>
            <w:r>
              <w:rPr>
                <w:b/>
                <w:bCs/>
              </w:rPr>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sidR="008C536B">
              <w:t>Nei</w:t>
            </w:r>
            <w:r>
              <w:rPr>
                <w:rFonts w:ascii="MS Mincho" w:eastAsia="MS Mincho" w:hAnsi="MS Mincho" w:cs="MS Mincho" w:hint="eastAsia"/>
              </w:rPr>
              <w:t>     </w:t>
            </w:r>
            <w:r>
              <w:fldChar w:fldCharType="end"/>
            </w:r>
          </w:p>
        </w:tc>
      </w:tr>
      <w:tr w:rsidR="009C5AB9" w:rsidTr="000E2422">
        <w:trPr>
          <w:trHeight w:val="1565"/>
        </w:trPr>
        <w:tc>
          <w:tcPr>
            <w:tcW w:w="2943" w:type="dxa"/>
            <w:shd w:val="clear" w:color="auto" w:fill="F3F3F3"/>
          </w:tcPr>
          <w:p w:rsidR="009C5AB9" w:rsidRPr="00A061B6" w:rsidRDefault="009C5AB9" w:rsidP="00BE1B39">
            <w:pPr>
              <w:pStyle w:val="Brdtekst"/>
              <w:spacing w:before="60" w:after="60"/>
              <w:ind w:left="108" w:right="141"/>
              <w:rPr>
                <w:b/>
                <w:bCs/>
              </w:rPr>
            </w:pPr>
            <w:r w:rsidRPr="00A061B6">
              <w:rPr>
                <w:b/>
              </w:rPr>
              <w:t>6</w:t>
            </w:r>
            <w:r w:rsidR="00C3480F" w:rsidRPr="00A061B6">
              <w:rPr>
                <w:b/>
              </w:rPr>
              <w:t>.</w:t>
            </w:r>
            <w:r w:rsidRPr="00A061B6">
              <w:rPr>
                <w:b/>
              </w:rPr>
              <w:t xml:space="preserve"> Det fremgår klart hvem som skal bruke prosedyren</w:t>
            </w:r>
            <w:r w:rsidR="00C74BB8" w:rsidRPr="00A061B6">
              <w:rPr>
                <w:b/>
              </w:rPr>
              <w:t>?</w:t>
            </w:r>
          </w:p>
        </w:tc>
        <w:tc>
          <w:tcPr>
            <w:tcW w:w="7479" w:type="dxa"/>
            <w:gridSpan w:val="3"/>
          </w:tcPr>
          <w:p w:rsidR="009C5AB9" w:rsidRPr="002229D3" w:rsidRDefault="00C74BB8" w:rsidP="002229D3">
            <w:pPr>
              <w:spacing w:before="40"/>
              <w:ind w:left="108"/>
              <w:rPr>
                <w:sz w:val="16"/>
              </w:rPr>
            </w:pPr>
            <w:r w:rsidRPr="002229D3">
              <w:rPr>
                <w:sz w:val="16"/>
              </w:rPr>
              <w:t>(</w:t>
            </w:r>
            <w:r w:rsidR="009C5AB9" w:rsidRPr="002229D3">
              <w:rPr>
                <w:sz w:val="16"/>
              </w:rPr>
              <w:t xml:space="preserve">for kunnskapsbaserte dokumenter kan man </w:t>
            </w:r>
            <w:r w:rsidR="00C05AB7" w:rsidRPr="002229D3">
              <w:rPr>
                <w:sz w:val="16"/>
              </w:rPr>
              <w:t>her</w:t>
            </w:r>
            <w:r w:rsidR="009C5AB9" w:rsidRPr="002229D3">
              <w:rPr>
                <w:sz w:val="16"/>
              </w:rPr>
              <w:t xml:space="preserve"> bare henvise til vedlagt </w:t>
            </w:r>
            <w:hyperlink r:id="rId13" w:history="1">
              <w:r w:rsidR="002D32C9" w:rsidRPr="002D32C9">
                <w:rPr>
                  <w:rStyle w:val="Hyperkobling"/>
                  <w:sz w:val="16"/>
                </w:rPr>
                <w:t>PICO-skjema</w:t>
              </w:r>
            </w:hyperlink>
            <w:r w:rsidR="009C5AB9" w:rsidRPr="002229D3">
              <w:rPr>
                <w:sz w:val="16"/>
              </w:rPr>
              <w:t>)</w:t>
            </w:r>
          </w:p>
          <w:p w:rsidR="00C05AB7" w:rsidRDefault="00C05AB7" w:rsidP="00C3480F">
            <w:pPr>
              <w:ind w:left="108"/>
            </w:pPr>
            <w:r>
              <w:fldChar w:fldCharType="begin">
                <w:ffData>
                  <w:name w:val="Tekst1"/>
                  <w:enabled/>
                  <w:calcOnExit w:val="0"/>
                  <w:textInput/>
                </w:ffData>
              </w:fldChar>
            </w:r>
            <w:r>
              <w:instrText xml:space="preserve"> FORMTEXT </w:instrText>
            </w:r>
            <w:r>
              <w:fldChar w:fldCharType="separate"/>
            </w:r>
            <w:r w:rsidR="008C536B">
              <w:t>Ja</w:t>
            </w:r>
            <w:r>
              <w:rPr>
                <w:rFonts w:ascii="MS Mincho" w:eastAsia="MS Mincho" w:hAnsi="MS Mincho" w:cs="MS Mincho" w:hint="eastAsia"/>
              </w:rPr>
              <w:t>     </w:t>
            </w:r>
            <w:r>
              <w:fldChar w:fldCharType="end"/>
            </w:r>
          </w:p>
        </w:tc>
      </w:tr>
      <w:tr w:rsidR="009C5AB9" w:rsidTr="000E2422">
        <w:trPr>
          <w:trHeight w:val="2037"/>
        </w:trPr>
        <w:tc>
          <w:tcPr>
            <w:tcW w:w="2943" w:type="dxa"/>
            <w:shd w:val="clear" w:color="auto" w:fill="F3F3F3"/>
          </w:tcPr>
          <w:p w:rsidR="009C5AB9" w:rsidRDefault="009C5AB9" w:rsidP="00BE1B39">
            <w:pPr>
              <w:pStyle w:val="Brdtekst"/>
              <w:spacing w:before="60" w:after="60"/>
              <w:ind w:left="108" w:right="141"/>
            </w:pPr>
            <w:r>
              <w:t>7</w:t>
            </w:r>
            <w:r w:rsidR="00C3480F">
              <w:t>.</w:t>
            </w:r>
            <w:r>
              <w:t xml:space="preserve"> Systematiske metoder ble brukt for å søke etter </w:t>
            </w:r>
            <w:r w:rsidR="00C74BB8">
              <w:t>kunnskaps</w:t>
            </w:r>
            <w:r w:rsidR="000E2422">
              <w:t>-</w:t>
            </w:r>
            <w:r w:rsidR="00C74BB8">
              <w:t>grunnlaget</w:t>
            </w:r>
            <w:r>
              <w:t xml:space="preserve"> til dokumentet</w:t>
            </w:r>
            <w:r w:rsidR="00C74BB8">
              <w:t>?</w:t>
            </w:r>
          </w:p>
        </w:tc>
        <w:tc>
          <w:tcPr>
            <w:tcW w:w="7479" w:type="dxa"/>
            <w:gridSpan w:val="3"/>
          </w:tcPr>
          <w:p w:rsidR="009C5AB9" w:rsidRDefault="00C74BB8" w:rsidP="00C3480F">
            <w:pPr>
              <w:ind w:left="108"/>
            </w:pPr>
            <w:r>
              <w:t>(</w:t>
            </w:r>
            <w:r w:rsidR="009C5AB9" w:rsidRPr="002229D3">
              <w:rPr>
                <w:sz w:val="16"/>
              </w:rPr>
              <w:t>for kunnskapsbaserte dokumenter kan man her bare henvise til vedlagt søkehistorikk som er tilsendt fra medisinsk bibliotek)</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0E2422">
        <w:trPr>
          <w:trHeight w:val="1558"/>
        </w:trPr>
        <w:tc>
          <w:tcPr>
            <w:tcW w:w="2943" w:type="dxa"/>
            <w:shd w:val="clear" w:color="auto" w:fill="F3F3F3"/>
          </w:tcPr>
          <w:p w:rsidR="009C5AB9" w:rsidRDefault="009C5AB9" w:rsidP="00BE1B39">
            <w:pPr>
              <w:pStyle w:val="Brdtekst"/>
              <w:spacing w:before="60" w:after="60"/>
              <w:ind w:left="108" w:right="141"/>
            </w:pPr>
            <w:r>
              <w:t>8</w:t>
            </w:r>
            <w:r w:rsidR="00C3480F">
              <w:t>.</w:t>
            </w:r>
            <w:r>
              <w:t xml:space="preserve"> Kriterier for utvelgelse av </w:t>
            </w:r>
            <w:r w:rsidR="00C74BB8">
              <w:t>kunnskapsgrunnlaget i dokumentet</w:t>
            </w:r>
            <w:r>
              <w:t xml:space="preserve"> er klart beskrevet</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604"/>
        </w:trPr>
        <w:tc>
          <w:tcPr>
            <w:tcW w:w="2943" w:type="dxa"/>
            <w:shd w:val="clear" w:color="auto" w:fill="F3F3F3"/>
          </w:tcPr>
          <w:p w:rsidR="009C5AB9" w:rsidRDefault="009C5AB9" w:rsidP="00BE1B39">
            <w:pPr>
              <w:pStyle w:val="Brdtekst"/>
              <w:spacing w:before="60" w:after="60"/>
              <w:ind w:left="108" w:right="141"/>
            </w:pPr>
            <w:r>
              <w:t>9</w:t>
            </w:r>
            <w:r w:rsidR="00C3480F">
              <w:t>.</w:t>
            </w:r>
            <w:r>
              <w:t xml:space="preserve"> Styrker og svakheter ved kunnskapsgrunnlaget i dokumentet er klart beskrevet</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355"/>
        </w:trPr>
        <w:tc>
          <w:tcPr>
            <w:tcW w:w="2943" w:type="dxa"/>
            <w:shd w:val="clear" w:color="auto" w:fill="F3F3F3"/>
          </w:tcPr>
          <w:p w:rsidR="009C5AB9" w:rsidRDefault="009C5AB9" w:rsidP="00BE1B39">
            <w:pPr>
              <w:pStyle w:val="Brdtekst"/>
              <w:spacing w:before="60" w:after="60"/>
              <w:ind w:left="108" w:right="141"/>
            </w:pPr>
            <w:r>
              <w:t>10</w:t>
            </w:r>
            <w:r w:rsidR="00C3480F">
              <w:t>.</w:t>
            </w:r>
            <w:r>
              <w:t xml:space="preserve"> Metodene som er brukt for å utarbeide anbefalingene i dokumentet er tydelige</w:t>
            </w:r>
            <w:r w:rsidR="00C74BB8">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746"/>
        </w:trPr>
        <w:tc>
          <w:tcPr>
            <w:tcW w:w="2943" w:type="dxa"/>
            <w:shd w:val="clear" w:color="auto" w:fill="F3F3F3"/>
          </w:tcPr>
          <w:p w:rsidR="009C5AB9" w:rsidRDefault="009C5AB9" w:rsidP="00BE1B39">
            <w:pPr>
              <w:pStyle w:val="Brdtekst"/>
              <w:spacing w:before="60" w:after="60"/>
              <w:ind w:left="108" w:right="141"/>
            </w:pPr>
            <w:r>
              <w:t>11</w:t>
            </w:r>
            <w:r w:rsidR="00C3480F">
              <w:t>.</w:t>
            </w:r>
            <w:r>
              <w:t xml:space="preserve"> Helsemessige fordeler, bivirkninger og </w:t>
            </w:r>
            <w:r w:rsidR="00C74BB8">
              <w:t>risikoer</w:t>
            </w:r>
            <w:r>
              <w:t xml:space="preserve"> er tatt i betraktning ved utarbeidelsen av </w:t>
            </w:r>
            <w:r w:rsidR="00C74BB8">
              <w:t>anbefalingene?</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442"/>
        </w:trPr>
        <w:tc>
          <w:tcPr>
            <w:tcW w:w="2943" w:type="dxa"/>
            <w:shd w:val="clear" w:color="auto" w:fill="F3F3F3"/>
          </w:tcPr>
          <w:p w:rsidR="009C5AB9" w:rsidRDefault="009C5AB9" w:rsidP="00BE1B39">
            <w:pPr>
              <w:pStyle w:val="Brdtekst"/>
              <w:spacing w:before="60" w:after="60"/>
              <w:ind w:left="108" w:right="141"/>
            </w:pPr>
            <w:r>
              <w:t>12</w:t>
            </w:r>
            <w:r w:rsidR="00C3480F">
              <w:t>.</w:t>
            </w:r>
            <w:r>
              <w:t xml:space="preserve"> Det fremgår </w:t>
            </w:r>
            <w:r w:rsidR="00C74BB8">
              <w:t>tydelig</w:t>
            </w:r>
            <w:r>
              <w:t xml:space="preserve"> hvordan anbefalingene henger sammen med kunnskapsgrunnlaget</w:t>
            </w:r>
            <w:r w:rsidR="006C4267">
              <w:t>?</w:t>
            </w:r>
          </w:p>
        </w:tc>
        <w:tc>
          <w:tcPr>
            <w:tcW w:w="7479" w:type="dxa"/>
            <w:gridSpan w:val="3"/>
            <w:tcBorders>
              <w:bottom w:val="single" w:sz="4" w:space="0" w:color="auto"/>
            </w:tcBorders>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Tr="002229D3">
        <w:trPr>
          <w:trHeight w:val="1404"/>
        </w:trPr>
        <w:tc>
          <w:tcPr>
            <w:tcW w:w="2943" w:type="dxa"/>
            <w:vMerge w:val="restart"/>
            <w:shd w:val="clear" w:color="auto" w:fill="F3F3F3"/>
          </w:tcPr>
          <w:p w:rsidR="002229D3" w:rsidRDefault="002229D3" w:rsidP="00BE1B39">
            <w:pPr>
              <w:pStyle w:val="Brdtekst"/>
              <w:spacing w:before="60" w:after="60"/>
              <w:ind w:left="108" w:right="141"/>
              <w:rPr>
                <w:b/>
                <w:bCs/>
              </w:rPr>
            </w:pPr>
            <w:r>
              <w:rPr>
                <w:b/>
                <w:bCs/>
              </w:rPr>
              <w:t xml:space="preserve">13. Fagprosedyrene er blitt vurdert eksternt av eksperter før publisering </w:t>
            </w:r>
            <w:r w:rsidRPr="006C4267">
              <w:rPr>
                <w:bCs/>
              </w:rPr>
              <w:t xml:space="preserve">(navn, tittel, </w:t>
            </w:r>
            <w:r>
              <w:rPr>
                <w:bCs/>
              </w:rPr>
              <w:t>og arbeidssted på alle)?</w:t>
            </w:r>
          </w:p>
          <w:p w:rsidR="002229D3" w:rsidRDefault="002229D3" w:rsidP="00BE1B39">
            <w:pPr>
              <w:pStyle w:val="Brdtekst"/>
              <w:spacing w:before="60" w:after="60"/>
              <w:ind w:left="108" w:right="141"/>
            </w:pPr>
          </w:p>
          <w:p w:rsidR="002229D3" w:rsidRDefault="002229D3" w:rsidP="00BE1B39">
            <w:pPr>
              <w:pStyle w:val="Brdtekst"/>
              <w:spacing w:before="60" w:after="60"/>
              <w:ind w:left="108" w:right="141"/>
              <w:rPr>
                <w:b/>
                <w:bCs/>
              </w:rPr>
            </w:pPr>
            <w:r>
              <w:rPr>
                <w:b/>
                <w:bCs/>
              </w:rPr>
              <w:t>Er evt. tilbakemeldinger gjennomgått?</w:t>
            </w:r>
          </w:p>
          <w:p w:rsidR="002229D3" w:rsidRDefault="002229D3" w:rsidP="00BE1B39">
            <w:pPr>
              <w:pStyle w:val="Brdtekst"/>
              <w:spacing w:before="60" w:after="60"/>
              <w:ind w:left="108" w:right="141"/>
              <w:rPr>
                <w:b/>
                <w:bCs/>
              </w:rPr>
            </w:pPr>
          </w:p>
          <w:p w:rsidR="002229D3" w:rsidRDefault="002229D3" w:rsidP="00BE1B39">
            <w:pPr>
              <w:pStyle w:val="Brdtekst"/>
              <w:spacing w:before="60" w:after="60"/>
              <w:ind w:left="108" w:right="141"/>
              <w:rPr>
                <w:b/>
                <w:bCs/>
              </w:rPr>
            </w:pPr>
            <w:r>
              <w:rPr>
                <w:b/>
                <w:bCs/>
              </w:rPr>
              <w:t>Her svares det også for om sentrale råd, utvalg, regionale eller nasjonale kompetanse-sentra, fagekspertgrupper, pasientorganisasjoner etc. har hatt dokumentet på høring.</w:t>
            </w:r>
          </w:p>
        </w:tc>
        <w:tc>
          <w:tcPr>
            <w:tcW w:w="7479" w:type="dxa"/>
            <w:gridSpan w:val="3"/>
            <w:tcBorders>
              <w:bottom w:val="nil"/>
            </w:tcBorders>
          </w:tcPr>
          <w:p w:rsidR="002229D3" w:rsidRDefault="002229D3" w:rsidP="008C536B">
            <w:pPr>
              <w:spacing w:before="40"/>
              <w:ind w:left="108"/>
            </w:pPr>
            <w:r>
              <w:fldChar w:fldCharType="begin">
                <w:ffData>
                  <w:name w:val="Tekst1"/>
                  <w:enabled/>
                  <w:calcOnExit w:val="0"/>
                  <w:textInput/>
                </w:ffData>
              </w:fldChar>
            </w:r>
            <w:r>
              <w:instrText xml:space="preserve"> FORMTEXT </w:instrText>
            </w:r>
            <w:r>
              <w:fldChar w:fldCharType="separate"/>
            </w:r>
            <w:r w:rsidR="008C536B">
              <w:rPr>
                <w:rFonts w:eastAsia="MS Mincho" w:hint="eastAsia"/>
              </w:rPr>
              <w:t>N</w:t>
            </w:r>
            <w:r w:rsidR="008C536B">
              <w:rPr>
                <w:rFonts w:eastAsia="MS Mincho"/>
              </w:rPr>
              <w:t>ei</w:t>
            </w:r>
            <w:r>
              <w:rPr>
                <w:rFonts w:ascii="MS Mincho" w:eastAsia="MS Mincho" w:hAnsi="MS Mincho" w:cs="MS Mincho" w:hint="eastAsia"/>
              </w:rPr>
              <w:t>  </w:t>
            </w:r>
            <w:r>
              <w:fldChar w:fldCharType="end"/>
            </w:r>
          </w:p>
        </w:tc>
      </w:tr>
      <w:tr w:rsidR="002229D3" w:rsidTr="000E2422">
        <w:trPr>
          <w:trHeight w:val="3166"/>
        </w:trPr>
        <w:tc>
          <w:tcPr>
            <w:tcW w:w="2943" w:type="dxa"/>
            <w:vMerge/>
            <w:shd w:val="clear" w:color="auto" w:fill="F3F3F3"/>
          </w:tcPr>
          <w:p w:rsidR="002229D3" w:rsidRDefault="002229D3" w:rsidP="00BE1B39">
            <w:pPr>
              <w:pStyle w:val="Brdtekst"/>
              <w:spacing w:before="60" w:after="60"/>
              <w:ind w:left="108" w:right="141"/>
              <w:rPr>
                <w:b/>
                <w:bCs/>
              </w:rPr>
            </w:pPr>
          </w:p>
        </w:tc>
        <w:tc>
          <w:tcPr>
            <w:tcW w:w="7479" w:type="dxa"/>
            <w:gridSpan w:val="3"/>
            <w:tcBorders>
              <w:top w:val="nil"/>
              <w:bottom w:val="single" w:sz="4" w:space="0" w:color="auto"/>
            </w:tcBorders>
          </w:tcPr>
          <w:p w:rsidR="002229D3" w:rsidRDefault="002229D3" w:rsidP="00C3480F">
            <w:pPr>
              <w:spacing w:before="40"/>
              <w:ind w:left="108"/>
            </w:pPr>
            <w:r>
              <w:fldChar w:fldCharType="begin">
                <w:ffData>
                  <w:name w:val="Avmerking1"/>
                  <w:enabled/>
                  <w:calcOnExit w:val="0"/>
                  <w:checkBox>
                    <w:sizeAuto/>
                    <w:default w:val="0"/>
                    <w:checked w:val="0"/>
                  </w:checkBox>
                </w:ffData>
              </w:fldChar>
            </w:r>
            <w:r>
              <w:instrText xml:space="preserve"> FORMCHECKBOX </w:instrText>
            </w:r>
            <w:r w:rsidR="00671422">
              <w:fldChar w:fldCharType="separate"/>
            </w:r>
            <w:r>
              <w:fldChar w:fldCharType="end"/>
            </w:r>
            <w:r>
              <w:t xml:space="preserve">  Ja</w:t>
            </w:r>
            <w:r>
              <w:tab/>
              <w:t xml:space="preserve">  </w:t>
            </w:r>
            <w:r>
              <w:fldChar w:fldCharType="begin">
                <w:ffData>
                  <w:name w:val="Avmerking1"/>
                  <w:enabled/>
                  <w:calcOnExit w:val="0"/>
                  <w:checkBox>
                    <w:sizeAuto/>
                    <w:default w:val="0"/>
                    <w:checked w:val="0"/>
                  </w:checkBox>
                </w:ffData>
              </w:fldChar>
            </w:r>
            <w:r>
              <w:instrText xml:space="preserve"> FORMCHECKBOX </w:instrText>
            </w:r>
            <w:r w:rsidR="00671422">
              <w:fldChar w:fldCharType="separate"/>
            </w:r>
            <w:r>
              <w:fldChar w:fldCharType="end"/>
            </w:r>
            <w:r>
              <w:t xml:space="preserve">  Nei, det var ingen tilbakemeldinger.</w:t>
            </w:r>
            <w:r>
              <w:tab/>
            </w:r>
          </w:p>
          <w:p w:rsidR="008C536B" w:rsidRDefault="002229D3" w:rsidP="00C05AB7">
            <w:pPr>
              <w:spacing w:before="40"/>
              <w:ind w:left="108"/>
              <w:rPr>
                <w:rFonts w:eastAsia="MS Mincho"/>
              </w:rPr>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p>
          <w:p w:rsidR="002229D3" w:rsidRDefault="008C536B" w:rsidP="00C05AB7">
            <w:pPr>
              <w:spacing w:before="40"/>
              <w:ind w:left="108"/>
            </w:pPr>
            <w:r>
              <w:rPr>
                <w:rFonts w:eastAsia="MS Mincho" w:hint="eastAsia"/>
              </w:rPr>
              <w:t>UMK</w:t>
            </w:r>
            <w:r w:rsidR="002229D3">
              <w:rPr>
                <w:rFonts w:ascii="MS Mincho" w:eastAsia="MS Mincho" w:hAnsi="MS Mincho" w:cs="MS Mincho" w:hint="eastAsia"/>
              </w:rPr>
              <w:t>    </w:t>
            </w:r>
            <w:r w:rsidR="002229D3">
              <w:fldChar w:fldCharType="end"/>
            </w:r>
          </w:p>
        </w:tc>
      </w:tr>
      <w:tr w:rsidR="002229D3" w:rsidTr="002229D3">
        <w:trPr>
          <w:trHeight w:val="2232"/>
        </w:trPr>
        <w:tc>
          <w:tcPr>
            <w:tcW w:w="2943" w:type="dxa"/>
            <w:vMerge w:val="restart"/>
            <w:shd w:val="clear" w:color="auto" w:fill="F3F3F3"/>
          </w:tcPr>
          <w:p w:rsidR="002229D3" w:rsidRDefault="002229D3" w:rsidP="00BE1B39">
            <w:pPr>
              <w:pStyle w:val="Brdtekst"/>
              <w:spacing w:before="60" w:after="60"/>
              <w:ind w:left="108" w:right="141"/>
            </w:pPr>
            <w:r>
              <w:t>14. Tidsplan og ansvarlige personer for oppdatering av dokumentet er klart beskrevet.</w:t>
            </w:r>
          </w:p>
          <w:p w:rsidR="002229D3" w:rsidRDefault="002229D3" w:rsidP="00BE1B39">
            <w:pPr>
              <w:pStyle w:val="Brdtekst"/>
              <w:spacing w:before="60" w:after="60"/>
              <w:ind w:left="108" w:right="141"/>
            </w:pPr>
            <w:r>
              <w:t>Her kommer det frem om oppdatering inngår i århjul eller faste planer for avdelingen.</w:t>
            </w:r>
          </w:p>
          <w:p w:rsidR="002229D3" w:rsidRDefault="002229D3" w:rsidP="00BE1B39">
            <w:pPr>
              <w:pStyle w:val="Brdtekst"/>
              <w:spacing w:before="60" w:after="60"/>
              <w:ind w:left="108" w:right="141"/>
            </w:pPr>
          </w:p>
          <w:p w:rsidR="002229D3" w:rsidRDefault="002229D3" w:rsidP="00BE1B39">
            <w:pPr>
              <w:pStyle w:val="Brdtekst"/>
              <w:spacing w:before="60" w:after="60"/>
              <w:ind w:left="108" w:right="141"/>
            </w:pPr>
            <w:r>
              <w:t>Vil du som dokumentansvarlig følge opp i denne perioden?</w:t>
            </w:r>
          </w:p>
        </w:tc>
        <w:tc>
          <w:tcPr>
            <w:tcW w:w="7479" w:type="dxa"/>
            <w:gridSpan w:val="3"/>
            <w:tcBorders>
              <w:bottom w:val="nil"/>
            </w:tcBorders>
          </w:tcPr>
          <w:p w:rsidR="002229D3" w:rsidRDefault="002229D3" w:rsidP="002229D3">
            <w:pPr>
              <w:spacing w:before="40"/>
              <w:ind w:left="108"/>
            </w:pPr>
            <w:r>
              <w:t xml:space="preserve">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1 år     Annen: </w:t>
            </w: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2229D3" w:rsidTr="002229D3">
        <w:trPr>
          <w:trHeight w:val="442"/>
        </w:trPr>
        <w:tc>
          <w:tcPr>
            <w:tcW w:w="2943" w:type="dxa"/>
            <w:vMerge/>
            <w:shd w:val="clear" w:color="auto" w:fill="F3F3F3"/>
          </w:tcPr>
          <w:p w:rsidR="002229D3" w:rsidRDefault="002229D3" w:rsidP="00C3480F">
            <w:pPr>
              <w:pStyle w:val="Brdtekst"/>
              <w:spacing w:before="60" w:after="60"/>
              <w:ind w:left="108"/>
            </w:pPr>
          </w:p>
        </w:tc>
        <w:tc>
          <w:tcPr>
            <w:tcW w:w="7479" w:type="dxa"/>
            <w:gridSpan w:val="3"/>
            <w:tcBorders>
              <w:top w:val="nil"/>
            </w:tcBorders>
          </w:tcPr>
          <w:p w:rsidR="002229D3" w:rsidRDefault="002229D3" w:rsidP="00C3480F">
            <w:pPr>
              <w:spacing w:before="40"/>
              <w:ind w:left="108"/>
            </w:pP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Ja</w:t>
            </w:r>
            <w:r>
              <w:tab/>
              <w:t xml:space="preserve">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Nei, jeg foreslår at en annen overtar ansvaret: </w:t>
            </w: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199"/>
        </w:trPr>
        <w:tc>
          <w:tcPr>
            <w:tcW w:w="2943" w:type="dxa"/>
            <w:shd w:val="clear" w:color="auto" w:fill="F3F3F3"/>
          </w:tcPr>
          <w:p w:rsidR="009C5AB9" w:rsidRDefault="009C5AB9" w:rsidP="00BE1B39">
            <w:pPr>
              <w:pStyle w:val="Brdtekst"/>
              <w:spacing w:before="60" w:after="60"/>
              <w:ind w:left="108" w:right="141"/>
            </w:pPr>
            <w:r>
              <w:t>15</w:t>
            </w:r>
            <w:r w:rsidR="00C3480F">
              <w:t>.</w:t>
            </w:r>
            <w:r>
              <w:t xml:space="preserve"> Anbefalingene er spesifikke og tydelige</w:t>
            </w:r>
            <w:r w:rsidR="006C4267">
              <w:t>?</w:t>
            </w:r>
          </w:p>
        </w:tc>
        <w:tc>
          <w:tcPr>
            <w:tcW w:w="7479" w:type="dxa"/>
            <w:gridSpan w:val="3"/>
          </w:tcPr>
          <w:p w:rsidR="009C5AB9"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16</w:t>
            </w:r>
            <w:r w:rsidR="00C3480F">
              <w:t>.</w:t>
            </w:r>
            <w:r>
              <w:t xml:space="preserve"> De ulike mulighetene for håndtering av tilstanden eller helsespørsmålene er klart beskrevet</w:t>
            </w:r>
            <w:r w:rsidR="006C4267">
              <w:t>?</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17</w:t>
            </w:r>
            <w:r w:rsidR="00C3480F">
              <w:t>.</w:t>
            </w:r>
            <w:r>
              <w:t xml:space="preserve"> De sentrale anbefa</w:t>
            </w:r>
            <w:r w:rsidR="006C4267">
              <w:t>lingene er lette å identifisere?</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738"/>
        </w:trPr>
        <w:tc>
          <w:tcPr>
            <w:tcW w:w="2943" w:type="dxa"/>
            <w:shd w:val="clear" w:color="auto" w:fill="F3F3F3"/>
          </w:tcPr>
          <w:p w:rsidR="009C5AB9" w:rsidRPr="002229D3" w:rsidRDefault="009C5AB9" w:rsidP="00BE1B39">
            <w:pPr>
              <w:pStyle w:val="Brdtekst"/>
              <w:spacing w:before="60" w:after="60"/>
              <w:ind w:left="108" w:right="141"/>
              <w:rPr>
                <w:sz w:val="16"/>
              </w:rPr>
            </w:pPr>
            <w:r>
              <w:t>18</w:t>
            </w:r>
            <w:r w:rsidR="00C3480F">
              <w:t>.</w:t>
            </w:r>
            <w:r>
              <w:t xml:space="preserve"> Faktorer som hemmer og fremmer bruk a</w:t>
            </w:r>
            <w:r w:rsidR="006C4267">
              <w:t>v dokumentet er klart beskrevet?</w:t>
            </w:r>
            <w:r w:rsidR="002229D3" w:rsidRPr="002229D3">
              <w:rPr>
                <w:sz w:val="16"/>
              </w:rPr>
              <w:t xml:space="preserve"> </w:t>
            </w:r>
            <w:r w:rsidR="002229D3">
              <w:rPr>
                <w:sz w:val="16"/>
              </w:rPr>
              <w:br/>
            </w:r>
            <w:r w:rsidR="002229D3" w:rsidRPr="002229D3">
              <w:rPr>
                <w:sz w:val="16"/>
              </w:rPr>
              <w:t>(En liste med hemmende faktorer kan brukes til å lage en implementerings</w:t>
            </w:r>
            <w:r w:rsidR="00BE1B39">
              <w:rPr>
                <w:sz w:val="16"/>
              </w:rPr>
              <w:t>-</w:t>
            </w:r>
            <w:r w:rsidR="002229D3" w:rsidRPr="002229D3">
              <w:rPr>
                <w:sz w:val="16"/>
              </w:rPr>
              <w:t>plan)</w:t>
            </w:r>
          </w:p>
        </w:tc>
        <w:tc>
          <w:tcPr>
            <w:tcW w:w="7479" w:type="dxa"/>
            <w:gridSpan w:val="3"/>
          </w:tcPr>
          <w:p w:rsidR="009C5AB9" w:rsidRDefault="00C05AB7" w:rsidP="002229D3">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273"/>
        </w:trPr>
        <w:tc>
          <w:tcPr>
            <w:tcW w:w="2943" w:type="dxa"/>
            <w:shd w:val="clear" w:color="auto" w:fill="F3F3F3"/>
          </w:tcPr>
          <w:p w:rsidR="009C5AB9" w:rsidRDefault="009C5AB9" w:rsidP="00BE1B39">
            <w:pPr>
              <w:pStyle w:val="Brdtekst"/>
              <w:spacing w:before="60" w:after="60"/>
              <w:ind w:left="108" w:right="141"/>
            </w:pPr>
            <w:r>
              <w:t>19</w:t>
            </w:r>
            <w:r w:rsidR="00C3480F">
              <w:t>.</w:t>
            </w:r>
            <w:r>
              <w:t xml:space="preserve"> Hvilke råd og/eller verktøy for bruk i praksis er dokumentet støttet av?</w:t>
            </w:r>
          </w:p>
        </w:tc>
        <w:tc>
          <w:tcPr>
            <w:tcW w:w="7479" w:type="dxa"/>
            <w:gridSpan w:val="3"/>
          </w:tcPr>
          <w:p w:rsidR="009C5AB9" w:rsidRDefault="00C05AB7" w:rsidP="00C3480F">
            <w:pPr>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980"/>
        </w:trPr>
        <w:tc>
          <w:tcPr>
            <w:tcW w:w="2943" w:type="dxa"/>
            <w:shd w:val="clear" w:color="auto" w:fill="F3F3F3"/>
          </w:tcPr>
          <w:p w:rsidR="009C5AB9" w:rsidRPr="004C1531" w:rsidRDefault="009C5AB9" w:rsidP="00BE1B39">
            <w:pPr>
              <w:pStyle w:val="Brdtekst"/>
              <w:spacing w:before="60" w:after="60"/>
              <w:ind w:left="108" w:right="141"/>
              <w:rPr>
                <w:bCs/>
              </w:rPr>
            </w:pPr>
            <w:r w:rsidRPr="004C1531">
              <w:rPr>
                <w:bCs/>
              </w:rPr>
              <w:t>20</w:t>
            </w:r>
            <w:r w:rsidR="00C3480F" w:rsidRPr="004C1531">
              <w:rPr>
                <w:bCs/>
              </w:rPr>
              <w:t>.</w:t>
            </w:r>
            <w:r w:rsidRPr="004C1531">
              <w:rPr>
                <w:bCs/>
              </w:rPr>
              <w:t xml:space="preserve"> Potensielle ressursmessige konsekvenser ved å anvende anbefalingene er tatt med i betraktning </w:t>
            </w:r>
          </w:p>
          <w:p w:rsidR="009C5AB9" w:rsidRDefault="009C5AB9" w:rsidP="00BE1B39">
            <w:pPr>
              <w:pStyle w:val="Brdtekst"/>
              <w:spacing w:before="60" w:after="60"/>
              <w:ind w:left="108" w:right="141"/>
            </w:pPr>
            <w:r w:rsidRPr="004C1531">
              <w:rPr>
                <w:bCs/>
              </w:rPr>
              <w:t>(Settes det krav som kan få store konsekvenser?</w:t>
            </w:r>
          </w:p>
        </w:tc>
        <w:tc>
          <w:tcPr>
            <w:tcW w:w="7479" w:type="dxa"/>
            <w:gridSpan w:val="3"/>
          </w:tcPr>
          <w:p w:rsidR="009C5AB9" w:rsidRDefault="009C5AB9" w:rsidP="002229D3">
            <w:pPr>
              <w:spacing w:before="40"/>
              <w:ind w:left="108"/>
            </w:pPr>
            <w:r>
              <w:fldChar w:fldCharType="begin">
                <w:ffData>
                  <w:name w:val="Avmerking1"/>
                  <w:enabled/>
                  <w:calcOnExit w:val="0"/>
                  <w:checkBox>
                    <w:sizeAuto/>
                    <w:default w:val="0"/>
                    <w:checked w:val="0"/>
                  </w:checkBox>
                </w:ffData>
              </w:fldChar>
            </w:r>
            <w:r>
              <w:instrText xml:space="preserve"> FORMCHECKBOX </w:instrText>
            </w:r>
            <w:r w:rsidR="00671422">
              <w:fldChar w:fldCharType="separate"/>
            </w:r>
            <w:r>
              <w:fldChar w:fldCharType="end"/>
            </w:r>
            <w:r>
              <w:t xml:space="preserve">  Nei</w:t>
            </w:r>
            <w:r w:rsidR="00A61C28">
              <w:t xml:space="preserve">    </w:t>
            </w:r>
            <w:r>
              <w:fldChar w:fldCharType="begin">
                <w:ffData>
                  <w:name w:val="Avmerking1"/>
                  <w:enabled/>
                  <w:calcOnExit w:val="0"/>
                  <w:checkBox>
                    <w:sizeAuto/>
                    <w:default w:val="0"/>
                    <w:checked w:val="0"/>
                  </w:checkBox>
                </w:ffData>
              </w:fldChar>
            </w:r>
            <w:r>
              <w:instrText xml:space="preserve"> FORMCHECKBOX </w:instrText>
            </w:r>
            <w:r w:rsidR="00671422">
              <w:fldChar w:fldCharType="separate"/>
            </w:r>
            <w:r>
              <w:fldChar w:fldCharType="end"/>
            </w:r>
            <w:r>
              <w:t xml:space="preserve">  Ja, se spesielt dette/disse punktene: </w:t>
            </w:r>
            <w:r w:rsidR="002229D3">
              <w:fldChar w:fldCharType="begin">
                <w:ffData>
                  <w:name w:val="Tekst1"/>
                  <w:enabled/>
                  <w:calcOnExit w:val="0"/>
                  <w:textInput/>
                </w:ffData>
              </w:fldChar>
            </w:r>
            <w:r w:rsidR="002229D3">
              <w:instrText xml:space="preserve"> FORMTEXT </w:instrText>
            </w:r>
            <w:r w:rsidR="002229D3">
              <w:fldChar w:fldCharType="separate"/>
            </w:r>
            <w:r w:rsidR="002229D3">
              <w:rPr>
                <w:rFonts w:ascii="MS Mincho" w:eastAsia="MS Mincho" w:hAnsi="MS Mincho" w:cs="MS Mincho" w:hint="eastAsia"/>
              </w:rPr>
              <w:t>     </w:t>
            </w:r>
            <w:r w:rsidR="002229D3">
              <w:fldChar w:fldCharType="end"/>
            </w:r>
          </w:p>
        </w:tc>
      </w:tr>
      <w:tr w:rsidR="009C5AB9" w:rsidTr="000E2422">
        <w:trPr>
          <w:trHeight w:val="1399"/>
        </w:trPr>
        <w:tc>
          <w:tcPr>
            <w:tcW w:w="2943" w:type="dxa"/>
            <w:shd w:val="clear" w:color="auto" w:fill="F3F3F3"/>
          </w:tcPr>
          <w:p w:rsidR="009C5AB9" w:rsidRDefault="009C5AB9" w:rsidP="00BE1B39">
            <w:pPr>
              <w:pStyle w:val="Brdtekst"/>
              <w:spacing w:before="60" w:after="60"/>
              <w:ind w:left="108" w:right="141"/>
            </w:pPr>
            <w:r>
              <w:t>21</w:t>
            </w:r>
            <w:r w:rsidR="00C3480F">
              <w:t>.</w:t>
            </w:r>
            <w:r>
              <w:t xml:space="preserve"> Dokumentets kriterier for etterlevelse og evaluering er klart beskrevet</w:t>
            </w:r>
            <w:r w:rsidR="006C4267">
              <w:t>?</w:t>
            </w:r>
          </w:p>
        </w:tc>
        <w:tc>
          <w:tcPr>
            <w:tcW w:w="7479" w:type="dxa"/>
            <w:gridSpan w:val="3"/>
          </w:tcPr>
          <w:p w:rsidR="009C5AB9" w:rsidRDefault="00C05AB7" w:rsidP="00C3480F">
            <w:pPr>
              <w:spacing w:before="4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0E2422">
        <w:trPr>
          <w:trHeight w:val="1547"/>
        </w:trPr>
        <w:tc>
          <w:tcPr>
            <w:tcW w:w="2943" w:type="dxa"/>
            <w:shd w:val="clear" w:color="auto" w:fill="F3F3F3"/>
          </w:tcPr>
          <w:p w:rsidR="009C5AB9" w:rsidRDefault="009C5AB9" w:rsidP="00BE1B39">
            <w:pPr>
              <w:pStyle w:val="Brdtekst"/>
              <w:spacing w:before="60" w:after="60"/>
              <w:ind w:left="108" w:right="141"/>
            </w:pPr>
            <w:r>
              <w:t>22</w:t>
            </w:r>
            <w:r w:rsidR="00C3480F">
              <w:t>.</w:t>
            </w:r>
            <w:r>
              <w:t xml:space="preserve"> Synspunkter fra finansielle eller redaksjonelle instanser har ikke hatt innvirkning på innholdet i </w:t>
            </w:r>
            <w:r w:rsidR="00C3480F">
              <w:t>dokumentet</w:t>
            </w:r>
            <w:r w:rsidR="006C4267">
              <w:t>?</w:t>
            </w:r>
          </w:p>
        </w:tc>
        <w:tc>
          <w:tcPr>
            <w:tcW w:w="7479" w:type="dxa"/>
            <w:gridSpan w:val="3"/>
          </w:tcPr>
          <w:p w:rsidR="009C5AB9" w:rsidRDefault="00C05AB7" w:rsidP="00C3480F">
            <w:pPr>
              <w:pStyle w:val="Brdtekst"/>
              <w:spacing w:before="60" w:after="60"/>
              <w:ind w:left="108"/>
            </w:pPr>
            <w:r>
              <w:fldChar w:fldCharType="begin">
                <w:ffData>
                  <w:name w:val="Tekst1"/>
                  <w:enabled/>
                  <w:calcOnExit w:val="0"/>
                  <w:textInput/>
                </w:ffData>
              </w:fldChar>
            </w:r>
            <w:r>
              <w:instrText xml:space="preserve"> FORMTEXT </w:instrText>
            </w:r>
            <w:r>
              <w:fldChar w:fldCharType="separate"/>
            </w:r>
            <w:r>
              <w:rPr>
                <w:rFonts w:ascii="MS Mincho" w:eastAsia="MS Mincho" w:hAnsi="MS Mincho" w:cs="MS Mincho" w:hint="eastAsia"/>
              </w:rPr>
              <w:t>     </w:t>
            </w:r>
            <w:r>
              <w:fldChar w:fldCharType="end"/>
            </w:r>
          </w:p>
        </w:tc>
      </w:tr>
      <w:tr w:rsidR="009C5AB9" w:rsidTr="002229D3">
        <w:trPr>
          <w:trHeight w:val="1615"/>
        </w:trPr>
        <w:tc>
          <w:tcPr>
            <w:tcW w:w="2943" w:type="dxa"/>
            <w:shd w:val="clear" w:color="auto" w:fill="F3F3F3"/>
          </w:tcPr>
          <w:p w:rsidR="009C5AB9" w:rsidRDefault="009C5AB9" w:rsidP="00BE1B39">
            <w:pPr>
              <w:pStyle w:val="Brdtekst"/>
              <w:spacing w:before="60" w:after="60"/>
              <w:ind w:left="108" w:right="141"/>
            </w:pPr>
            <w:r>
              <w:rPr>
                <w:b/>
                <w:bCs/>
              </w:rPr>
              <w:t>23</w:t>
            </w:r>
            <w:r w:rsidR="00C3480F">
              <w:rPr>
                <w:b/>
                <w:bCs/>
              </w:rPr>
              <w:t>.</w:t>
            </w:r>
            <w:r>
              <w:rPr>
                <w:b/>
                <w:bCs/>
              </w:rPr>
              <w:t xml:space="preserve"> Interessekonflikter i arbeidsgruppen bak dokumentet er dokumentert og håndtert</w:t>
            </w:r>
            <w:r w:rsidR="006C4267">
              <w:rPr>
                <w:b/>
                <w:bCs/>
              </w:rPr>
              <w:t>?</w:t>
            </w:r>
          </w:p>
        </w:tc>
        <w:tc>
          <w:tcPr>
            <w:tcW w:w="7479" w:type="dxa"/>
            <w:gridSpan w:val="3"/>
          </w:tcPr>
          <w:p w:rsidR="009C5AB9" w:rsidRDefault="009C5AB9" w:rsidP="00C3480F">
            <w:pPr>
              <w:spacing w:before="40"/>
              <w:ind w:left="108"/>
            </w:pP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rsidR="00A61C28">
              <w:t xml:space="preserve">  Stor enighet    </w:t>
            </w:r>
            <w:r>
              <w:fldChar w:fldCharType="begin">
                <w:ffData>
                  <w:name w:val=""/>
                  <w:enabled/>
                  <w:calcOnExit w:val="0"/>
                  <w:checkBox>
                    <w:sizeAuto/>
                    <w:default w:val="0"/>
                    <w:checked/>
                  </w:checkBox>
                </w:ffData>
              </w:fldChar>
            </w:r>
            <w:r>
              <w:instrText xml:space="preserve"> FORMCHECKBOX </w:instrText>
            </w:r>
            <w:r w:rsidR="00671422">
              <w:fldChar w:fldCharType="separate"/>
            </w:r>
            <w:r>
              <w:fldChar w:fldCharType="end"/>
            </w:r>
            <w:r>
              <w:t xml:space="preserve">  Enighet hos de fleste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Middels enighet     </w:t>
            </w:r>
            <w:r>
              <w:fldChar w:fldCharType="begin">
                <w:ffData>
                  <w:name w:val=""/>
                  <w:enabled/>
                  <w:calcOnExit w:val="0"/>
                  <w:checkBox>
                    <w:sizeAuto/>
                    <w:default w:val="0"/>
                    <w:checked w:val="0"/>
                  </w:checkBox>
                </w:ffData>
              </w:fldChar>
            </w:r>
            <w:r>
              <w:instrText xml:space="preserve"> FORMCHECKBOX </w:instrText>
            </w:r>
            <w:r w:rsidR="00671422">
              <w:fldChar w:fldCharType="separate"/>
            </w:r>
            <w:r>
              <w:fldChar w:fldCharType="end"/>
            </w:r>
            <w:r>
              <w:t xml:space="preserve">  Ingen enighet</w:t>
            </w:r>
          </w:p>
          <w:p w:rsidR="009C5AB9" w:rsidRDefault="009C5AB9" w:rsidP="004C1531">
            <w:pPr>
              <w:spacing w:before="40"/>
              <w:ind w:left="108"/>
            </w:pPr>
            <w:r w:rsidRPr="002229D3">
              <w:rPr>
                <w:sz w:val="16"/>
              </w:rPr>
              <w:t>Faglig uenighet begrunnes og beskrives.</w:t>
            </w:r>
            <w:r w:rsidR="00C05AB7" w:rsidRPr="002229D3">
              <w:rPr>
                <w:sz w:val="16"/>
              </w:rPr>
              <w:t xml:space="preserve"> </w:t>
            </w:r>
            <w:r w:rsidR="00C05AB7">
              <w:fldChar w:fldCharType="begin">
                <w:ffData>
                  <w:name w:val="Tekst1"/>
                  <w:enabled/>
                  <w:calcOnExit w:val="0"/>
                  <w:textInput/>
                </w:ffData>
              </w:fldChar>
            </w:r>
            <w:r w:rsidR="00C05AB7">
              <w:instrText xml:space="preserve"> FORMTEXT </w:instrText>
            </w:r>
            <w:r w:rsidR="00C05AB7">
              <w:fldChar w:fldCharType="separate"/>
            </w:r>
            <w:r w:rsidR="00C05AB7">
              <w:rPr>
                <w:rFonts w:ascii="MS Mincho" w:eastAsia="MS Mincho" w:hAnsi="MS Mincho" w:cs="MS Mincho" w:hint="eastAsia"/>
              </w:rPr>
              <w:t>     </w:t>
            </w:r>
            <w:r w:rsidR="00C05AB7">
              <w:fldChar w:fldCharType="end"/>
            </w:r>
          </w:p>
        </w:tc>
      </w:tr>
      <w:tr w:rsidR="009C5AB9" w:rsidTr="002229D3">
        <w:trPr>
          <w:trHeight w:val="649"/>
        </w:trPr>
        <w:tc>
          <w:tcPr>
            <w:tcW w:w="7172" w:type="dxa"/>
            <w:gridSpan w:val="2"/>
          </w:tcPr>
          <w:p w:rsidR="00C05AB7" w:rsidRDefault="00C3480F" w:rsidP="00C3480F">
            <w:pPr>
              <w:pStyle w:val="Brdtekst"/>
              <w:spacing w:after="0"/>
              <w:ind w:left="108"/>
            </w:pPr>
            <w:r>
              <w:t>Dokumentansvarliges navn og tittel:</w:t>
            </w:r>
          </w:p>
          <w:p w:rsidR="009C5AB9" w:rsidRDefault="009C5AB9" w:rsidP="00C3480F">
            <w:pPr>
              <w:pStyle w:val="Brdtekst"/>
              <w:spacing w:after="0"/>
              <w:ind w:left="108"/>
            </w:pPr>
            <w:r>
              <w:fldChar w:fldCharType="begin">
                <w:ffData>
                  <w:name w:val="Tekst15"/>
                  <w:enabled/>
                  <w:calcOnExit w:val="0"/>
                  <w:textInput/>
                </w:ffData>
              </w:fldChar>
            </w:r>
            <w:bookmarkStart w:id="1" w:name="Tekst15"/>
            <w:r>
              <w:instrText xml:space="preserve"> FORMTEXT </w:instrText>
            </w:r>
            <w:r>
              <w:fldChar w:fldCharType="separate"/>
            </w:r>
            <w:r>
              <w:t>   </w:t>
            </w:r>
            <w:r w:rsidR="008C536B">
              <w:t>Lisa Mørkrid, Farmasøyt</w:t>
            </w:r>
            <w:r>
              <w:t>  </w:t>
            </w:r>
            <w:r>
              <w:fldChar w:fldCharType="end"/>
            </w:r>
            <w:bookmarkEnd w:id="1"/>
          </w:p>
        </w:tc>
        <w:tc>
          <w:tcPr>
            <w:tcW w:w="1555" w:type="dxa"/>
          </w:tcPr>
          <w:p w:rsidR="009C5AB9" w:rsidRDefault="009C5AB9" w:rsidP="00C3480F">
            <w:pPr>
              <w:pStyle w:val="Brdtekst"/>
              <w:spacing w:after="0"/>
              <w:ind w:left="108"/>
            </w:pPr>
            <w:r>
              <w:t>Telefonnr.</w:t>
            </w:r>
            <w:r w:rsidR="00C3480F">
              <w:t>:</w:t>
            </w:r>
          </w:p>
          <w:p w:rsidR="009C5AB9" w:rsidRDefault="009C5AB9" w:rsidP="008C536B">
            <w:pPr>
              <w:pStyle w:val="Brdtekst"/>
              <w:spacing w:after="0"/>
              <w:ind w:left="108"/>
            </w:pPr>
            <w:r>
              <w:fldChar w:fldCharType="begin">
                <w:ffData>
                  <w:name w:val="Tekst16"/>
                  <w:enabled/>
                  <w:calcOnExit w:val="0"/>
                  <w:textInput/>
                </w:ffData>
              </w:fldChar>
            </w:r>
            <w:bookmarkStart w:id="2" w:name="Tekst16"/>
            <w:r>
              <w:instrText xml:space="preserve"> FORMTEXT </w:instrText>
            </w:r>
            <w:r>
              <w:fldChar w:fldCharType="separate"/>
            </w:r>
            <w:r>
              <w:t>    </w:t>
            </w:r>
            <w:r w:rsidR="008C536B">
              <w:t>41521555</w:t>
            </w:r>
            <w:r>
              <w:t> </w:t>
            </w:r>
            <w:r>
              <w:fldChar w:fldCharType="end"/>
            </w:r>
            <w:bookmarkEnd w:id="2"/>
          </w:p>
        </w:tc>
        <w:tc>
          <w:tcPr>
            <w:tcW w:w="1695" w:type="dxa"/>
          </w:tcPr>
          <w:p w:rsidR="009C5AB9" w:rsidRDefault="009C5AB9" w:rsidP="00C3480F">
            <w:pPr>
              <w:pStyle w:val="Brdtekst"/>
              <w:tabs>
                <w:tab w:val="left" w:pos="1734"/>
              </w:tabs>
              <w:spacing w:after="0"/>
              <w:ind w:left="108"/>
            </w:pPr>
            <w:r>
              <w:t>Dato:</w:t>
            </w:r>
          </w:p>
          <w:p w:rsidR="009C5AB9" w:rsidRDefault="009C5AB9" w:rsidP="00F31BF4">
            <w:pPr>
              <w:pStyle w:val="Brdtekst"/>
              <w:tabs>
                <w:tab w:val="left" w:pos="1734"/>
              </w:tabs>
              <w:spacing w:after="0"/>
              <w:ind w:left="108"/>
            </w:pPr>
            <w:r>
              <w:fldChar w:fldCharType="begin">
                <w:ffData>
                  <w:name w:val="Tekst17"/>
                  <w:enabled/>
                  <w:calcOnExit w:val="0"/>
                  <w:textInput/>
                </w:ffData>
              </w:fldChar>
            </w:r>
            <w:bookmarkStart w:id="3" w:name="Tekst17"/>
            <w:r>
              <w:instrText xml:space="preserve"> FORMTEXT </w:instrText>
            </w:r>
            <w:r>
              <w:fldChar w:fldCharType="separate"/>
            </w:r>
            <w:r>
              <w:t>    </w:t>
            </w:r>
            <w:r w:rsidR="00F31BF4">
              <w:t>06</w:t>
            </w:r>
            <w:r w:rsidR="008C536B">
              <w:t>.</w:t>
            </w:r>
            <w:r w:rsidR="00F31BF4">
              <w:t>09</w:t>
            </w:r>
            <w:r w:rsidR="008C536B">
              <w:t>.202</w:t>
            </w:r>
            <w:r w:rsidR="00F31BF4">
              <w:t>2</w:t>
            </w:r>
            <w:r>
              <w:t> </w:t>
            </w:r>
            <w:r>
              <w:fldChar w:fldCharType="end"/>
            </w:r>
            <w:bookmarkEnd w:id="3"/>
          </w:p>
        </w:tc>
      </w:tr>
    </w:tbl>
    <w:p w:rsidR="009C5AB9" w:rsidRPr="007F7B64" w:rsidRDefault="009C5AB9" w:rsidP="007F7B64">
      <w:pPr>
        <w:tabs>
          <w:tab w:val="left" w:pos="3204"/>
        </w:tabs>
        <w:rPr>
          <w:sz w:val="2"/>
          <w:szCs w:val="2"/>
        </w:rPr>
      </w:pPr>
    </w:p>
    <w:sectPr w:rsidR="009C5AB9" w:rsidRPr="007F7B64" w:rsidSect="007F7B64">
      <w:footerReference w:type="default" r:id="rId14"/>
      <w:endnotePr>
        <w:numFmt w:val="decimal"/>
      </w:endnotePr>
      <w:type w:val="nextColumn"/>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B5" w:rsidRDefault="00537DB5" w:rsidP="007F7B64">
      <w:r>
        <w:separator/>
      </w:r>
    </w:p>
  </w:endnote>
  <w:endnote w:type="continuationSeparator" w:id="0">
    <w:p w:rsidR="00537DB5" w:rsidRDefault="00537DB5" w:rsidP="007F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732"/>
      <w:gridCol w:w="3428"/>
      <w:gridCol w:w="1089"/>
      <w:gridCol w:w="1050"/>
    </w:tblGrid>
    <w:tr w:rsidR="00537DB5" w:rsidTr="00844F4C">
      <w:tc>
        <w:tcPr>
          <w:tcW w:w="2270" w:type="pct"/>
          <w:gridSpan w:val="2"/>
        </w:tcPr>
        <w:p w:rsidR="00537DB5" w:rsidRDefault="00537DB5" w:rsidP="00844F4C">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Pr>
              <w:rFonts w:ascii="Arial Narrow" w:hAnsi="Arial Narrow" w:cs="Times-Roman"/>
              <w:b/>
              <w:noProof/>
              <w:sz w:val="14"/>
              <w:szCs w:val="24"/>
            </w:rPr>
            <w:t>AGREE - metoderapport v8</w:t>
          </w:r>
          <w:r>
            <w:rPr>
              <w:rFonts w:ascii="Arial Narrow" w:hAnsi="Arial Narrow" w:cs="Times-Roman"/>
              <w:b/>
              <w:sz w:val="14"/>
              <w:szCs w:val="24"/>
            </w:rPr>
            <w:fldChar w:fldCharType="end"/>
          </w:r>
        </w:p>
      </w:tc>
      <w:tc>
        <w:tcPr>
          <w:tcW w:w="2215" w:type="pct"/>
          <w:gridSpan w:val="2"/>
        </w:tcPr>
        <w:p w:rsidR="00537DB5" w:rsidRDefault="00537DB5" w:rsidP="007F7B6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Org.enhet: Stab medisin, helsefag og utvikling </w:t>
          </w:r>
        </w:p>
      </w:tc>
      <w:tc>
        <w:tcPr>
          <w:tcW w:w="515" w:type="pct"/>
        </w:tcPr>
        <w:p w:rsidR="00537DB5" w:rsidRDefault="00537DB5" w:rsidP="007F7B64">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537DB5" w:rsidTr="00844F4C">
      <w:tc>
        <w:tcPr>
          <w:tcW w:w="440" w:type="pct"/>
        </w:tcPr>
        <w:p w:rsidR="00537DB5" w:rsidRDefault="00537DB5" w:rsidP="000E242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Versjon: 8</w:t>
          </w:r>
        </w:p>
      </w:tc>
      <w:tc>
        <w:tcPr>
          <w:tcW w:w="1830" w:type="pct"/>
        </w:tcPr>
        <w:p w:rsidR="00537DB5" w:rsidRDefault="00537DB5" w:rsidP="007F7B6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Dokumentansvarlig: Karin Borgen</w:t>
          </w:r>
        </w:p>
      </w:tc>
      <w:tc>
        <w:tcPr>
          <w:tcW w:w="1681" w:type="pct"/>
        </w:tcPr>
        <w:p w:rsidR="00537DB5" w:rsidRDefault="00537DB5" w:rsidP="007F7B64">
          <w:pPr>
            <w:keepNext/>
            <w:autoSpaceDE w:val="0"/>
            <w:autoSpaceDN w:val="0"/>
            <w:adjustRightInd w:val="0"/>
            <w:rPr>
              <w:rFonts w:ascii="Arial Narrow" w:hAnsi="Arial Narrow" w:cs="Times-Roman"/>
              <w:sz w:val="14"/>
              <w:szCs w:val="24"/>
            </w:rPr>
          </w:pPr>
        </w:p>
      </w:tc>
      <w:tc>
        <w:tcPr>
          <w:tcW w:w="534" w:type="pct"/>
        </w:tcPr>
        <w:p w:rsidR="00537DB5" w:rsidRDefault="00537DB5" w:rsidP="00844F4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142083">
            <w:rPr>
              <w:rFonts w:ascii="Arial Narrow" w:hAnsi="Arial Narrow" w:cs="Times-Roman"/>
              <w:noProof/>
              <w:sz w:val="14"/>
              <w:szCs w:val="24"/>
            </w:rPr>
            <w:t>06.09.22</w:t>
          </w:r>
          <w:r>
            <w:rPr>
              <w:rFonts w:ascii="Arial Narrow" w:hAnsi="Arial Narrow" w:cs="Times-Roman"/>
              <w:sz w:val="14"/>
              <w:szCs w:val="24"/>
            </w:rPr>
            <w:fldChar w:fldCharType="end"/>
          </w:r>
        </w:p>
      </w:tc>
      <w:tc>
        <w:tcPr>
          <w:tcW w:w="515" w:type="pct"/>
        </w:tcPr>
        <w:p w:rsidR="00537DB5" w:rsidRDefault="00537DB5" w:rsidP="00844F4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671422">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671422">
            <w:rPr>
              <w:rFonts w:ascii="Arial Narrow" w:hAnsi="Arial Narrow" w:cs="Times-Roman"/>
              <w:noProof/>
              <w:snapToGrid w:val="0"/>
              <w:sz w:val="14"/>
              <w:szCs w:val="24"/>
            </w:rPr>
            <w:t>6</w:t>
          </w:r>
          <w:r>
            <w:rPr>
              <w:rFonts w:ascii="Arial Narrow" w:hAnsi="Arial Narrow" w:cs="Times-Roman"/>
              <w:snapToGrid w:val="0"/>
              <w:sz w:val="14"/>
              <w:szCs w:val="24"/>
            </w:rPr>
            <w:fldChar w:fldCharType="end"/>
          </w:r>
        </w:p>
      </w:tc>
    </w:tr>
  </w:tbl>
  <w:p w:rsidR="00537DB5" w:rsidRPr="007F7B64" w:rsidRDefault="00537DB5">
    <w:pPr>
      <w:pStyle w:val="Bunn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B5" w:rsidRDefault="00537DB5" w:rsidP="007F7B64">
      <w:r>
        <w:separator/>
      </w:r>
    </w:p>
  </w:footnote>
  <w:footnote w:type="continuationSeparator" w:id="0">
    <w:p w:rsidR="00537DB5" w:rsidRDefault="00537DB5" w:rsidP="007F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540B5F9F"/>
    <w:multiLevelType w:val="hybridMultilevel"/>
    <w:tmpl w:val="29D4338A"/>
    <w:lvl w:ilvl="0" w:tplc="04140001">
      <w:start w:val="1"/>
      <w:numFmt w:val="bullet"/>
      <w:lvlText w:val=""/>
      <w:lvlJc w:val="left"/>
      <w:pPr>
        <w:ind w:left="828" w:hanging="360"/>
      </w:pPr>
      <w:rPr>
        <w:rFonts w:ascii="Symbol" w:hAnsi="Symbol" w:hint="default"/>
      </w:rPr>
    </w:lvl>
    <w:lvl w:ilvl="1" w:tplc="04140003" w:tentative="1">
      <w:start w:val="1"/>
      <w:numFmt w:val="bullet"/>
      <w:lvlText w:val="o"/>
      <w:lvlJc w:val="left"/>
      <w:pPr>
        <w:ind w:left="1548" w:hanging="360"/>
      </w:pPr>
      <w:rPr>
        <w:rFonts w:ascii="Courier New" w:hAnsi="Courier New" w:cs="Courier New" w:hint="default"/>
      </w:rPr>
    </w:lvl>
    <w:lvl w:ilvl="2" w:tplc="04140005" w:tentative="1">
      <w:start w:val="1"/>
      <w:numFmt w:val="bullet"/>
      <w:lvlText w:val=""/>
      <w:lvlJc w:val="left"/>
      <w:pPr>
        <w:ind w:left="2268" w:hanging="360"/>
      </w:pPr>
      <w:rPr>
        <w:rFonts w:ascii="Wingdings" w:hAnsi="Wingdings" w:hint="default"/>
      </w:rPr>
    </w:lvl>
    <w:lvl w:ilvl="3" w:tplc="04140001" w:tentative="1">
      <w:start w:val="1"/>
      <w:numFmt w:val="bullet"/>
      <w:lvlText w:val=""/>
      <w:lvlJc w:val="left"/>
      <w:pPr>
        <w:ind w:left="2988" w:hanging="360"/>
      </w:pPr>
      <w:rPr>
        <w:rFonts w:ascii="Symbol" w:hAnsi="Symbol" w:hint="default"/>
      </w:rPr>
    </w:lvl>
    <w:lvl w:ilvl="4" w:tplc="04140003" w:tentative="1">
      <w:start w:val="1"/>
      <w:numFmt w:val="bullet"/>
      <w:lvlText w:val="o"/>
      <w:lvlJc w:val="left"/>
      <w:pPr>
        <w:ind w:left="3708" w:hanging="360"/>
      </w:pPr>
      <w:rPr>
        <w:rFonts w:ascii="Courier New" w:hAnsi="Courier New" w:cs="Courier New" w:hint="default"/>
      </w:rPr>
    </w:lvl>
    <w:lvl w:ilvl="5" w:tplc="04140005" w:tentative="1">
      <w:start w:val="1"/>
      <w:numFmt w:val="bullet"/>
      <w:lvlText w:val=""/>
      <w:lvlJc w:val="left"/>
      <w:pPr>
        <w:ind w:left="4428" w:hanging="360"/>
      </w:pPr>
      <w:rPr>
        <w:rFonts w:ascii="Wingdings" w:hAnsi="Wingdings" w:hint="default"/>
      </w:rPr>
    </w:lvl>
    <w:lvl w:ilvl="6" w:tplc="04140001" w:tentative="1">
      <w:start w:val="1"/>
      <w:numFmt w:val="bullet"/>
      <w:lvlText w:val=""/>
      <w:lvlJc w:val="left"/>
      <w:pPr>
        <w:ind w:left="5148" w:hanging="360"/>
      </w:pPr>
      <w:rPr>
        <w:rFonts w:ascii="Symbol" w:hAnsi="Symbol" w:hint="default"/>
      </w:rPr>
    </w:lvl>
    <w:lvl w:ilvl="7" w:tplc="04140003" w:tentative="1">
      <w:start w:val="1"/>
      <w:numFmt w:val="bullet"/>
      <w:lvlText w:val="o"/>
      <w:lvlJc w:val="left"/>
      <w:pPr>
        <w:ind w:left="5868" w:hanging="360"/>
      </w:pPr>
      <w:rPr>
        <w:rFonts w:ascii="Courier New" w:hAnsi="Courier New" w:cs="Courier New" w:hint="default"/>
      </w:rPr>
    </w:lvl>
    <w:lvl w:ilvl="8" w:tplc="04140005" w:tentative="1">
      <w:start w:val="1"/>
      <w:numFmt w:val="bullet"/>
      <w:lvlText w:val=""/>
      <w:lvlJc w:val="left"/>
      <w:pPr>
        <w:ind w:left="65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cryptProviderType="rsaFull" w:cryptAlgorithmClass="hash" w:cryptAlgorithmType="typeAny" w:cryptAlgorithmSid="4" w:cryptSpinCount="100000" w:hash="mWMLk9Kf1If6AWJe0n9Wf4cQCwk=" w:salt="FxaP7M1Ggj6yEb//DZUv5g=="/>
  <w:defaultTabStop w:val="708"/>
  <w:hyphenationZone w:val="425"/>
  <w:drawingGridHorizontalSpacing w:val="0"/>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0"/>
    <w:rsid w:val="00010D0D"/>
    <w:rsid w:val="00015BC7"/>
    <w:rsid w:val="000E2422"/>
    <w:rsid w:val="00142083"/>
    <w:rsid w:val="001461EC"/>
    <w:rsid w:val="002229D3"/>
    <w:rsid w:val="00296039"/>
    <w:rsid w:val="002A253A"/>
    <w:rsid w:val="002D32C9"/>
    <w:rsid w:val="00321CA8"/>
    <w:rsid w:val="00382662"/>
    <w:rsid w:val="003831E6"/>
    <w:rsid w:val="00454337"/>
    <w:rsid w:val="004C1531"/>
    <w:rsid w:val="00526820"/>
    <w:rsid w:val="00537DB5"/>
    <w:rsid w:val="005743BF"/>
    <w:rsid w:val="0066264D"/>
    <w:rsid w:val="00671422"/>
    <w:rsid w:val="006C4267"/>
    <w:rsid w:val="007E2EB5"/>
    <w:rsid w:val="007F7B64"/>
    <w:rsid w:val="00844F4C"/>
    <w:rsid w:val="008C536B"/>
    <w:rsid w:val="00941CF7"/>
    <w:rsid w:val="00991D8C"/>
    <w:rsid w:val="009A166B"/>
    <w:rsid w:val="009C5AB9"/>
    <w:rsid w:val="009D2DB4"/>
    <w:rsid w:val="00A061B6"/>
    <w:rsid w:val="00A61C28"/>
    <w:rsid w:val="00A958A7"/>
    <w:rsid w:val="00AA6E75"/>
    <w:rsid w:val="00B11433"/>
    <w:rsid w:val="00BE1B39"/>
    <w:rsid w:val="00C05AB7"/>
    <w:rsid w:val="00C3480F"/>
    <w:rsid w:val="00C74BB8"/>
    <w:rsid w:val="00CD2C1C"/>
    <w:rsid w:val="00D842AF"/>
    <w:rsid w:val="00D919B2"/>
    <w:rsid w:val="00E32780"/>
    <w:rsid w:val="00E813BB"/>
    <w:rsid w:val="00EE6D4A"/>
    <w:rsid w:val="00F31BF4"/>
    <w:rsid w:val="00F616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6C4FCBA"/>
  <w15:docId w15:val="{87320A70-5A7B-486B-9A0B-663419BD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Overskrift1">
    <w:name w:val="heading 1"/>
    <w:basedOn w:val="Normal"/>
    <w:next w:val="Brdtekst"/>
    <w:qFormat/>
    <w:pPr>
      <w:numPr>
        <w:numId w:val="1"/>
      </w:numPr>
      <w:tabs>
        <w:tab w:val="left" w:pos="360"/>
      </w:tabs>
      <w:spacing w:before="120" w:after="120"/>
      <w:outlineLvl w:val="0"/>
    </w:pPr>
    <w:rPr>
      <w:b/>
      <w:sz w:val="32"/>
    </w:rPr>
  </w:style>
  <w:style w:type="paragraph" w:styleId="Overskrift2">
    <w:name w:val="heading 2"/>
    <w:basedOn w:val="Overskrift1"/>
    <w:next w:val="Normal"/>
    <w:qFormat/>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qFormat/>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qFormat/>
    <w:pPr>
      <w:numPr>
        <w:ilvl w:val="3"/>
        <w:numId w:val="1"/>
      </w:numPr>
      <w:tabs>
        <w:tab w:val="left" w:pos="1728"/>
      </w:tabs>
      <w:spacing w:after="60"/>
      <w:outlineLvl w:val="3"/>
    </w:pPr>
    <w:rPr>
      <w:b/>
    </w:rPr>
  </w:style>
  <w:style w:type="paragraph" w:styleId="Overskrift5">
    <w:name w:val="heading 5"/>
    <w:basedOn w:val="Normal"/>
    <w:next w:val="Vanliginnrykk"/>
    <w:qFormat/>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spacing w:before="240" w:after="60"/>
    </w:pPr>
    <w:rPr>
      <w:rFonts w:ascii="Arial" w:hAnsi="Arial"/>
      <w:b/>
      <w:kern w:val="28"/>
      <w:sz w:val="32"/>
    </w:rPr>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Bobletekst">
    <w:name w:val="Balloon Text"/>
    <w:basedOn w:val="Normal"/>
    <w:semiHidden/>
    <w:rPr>
      <w:rFonts w:ascii="Tahoma" w:hAnsi="Tahoma" w:cs="Tahoma"/>
      <w:sz w:val="16"/>
      <w:szCs w:val="16"/>
    </w:rPr>
  </w:style>
  <w:style w:type="paragraph" w:customStyle="1" w:styleId="innh1">
    <w:name w:val="innh 1"/>
    <w:basedOn w:val="Normal"/>
    <w:pPr>
      <w:tabs>
        <w:tab w:val="right" w:leader="dot" w:pos="9360"/>
      </w:tabs>
      <w:suppressAutoHyphens/>
      <w:spacing w:before="480"/>
      <w:ind w:left="720" w:right="720" w:hanging="720"/>
    </w:pPr>
    <w:rPr>
      <w:rFonts w:cs="Arial"/>
      <w:b/>
      <w:caps/>
      <w:sz w:val="28"/>
      <w:szCs w:val="28"/>
    </w:rPr>
  </w:style>
  <w:style w:type="character" w:styleId="Hyperkobling">
    <w:name w:val="Hyperlink"/>
    <w:uiPriority w:val="99"/>
    <w:unhideWhenUsed/>
    <w:rsid w:val="00C3480F"/>
    <w:rPr>
      <w:color w:val="0000FF"/>
      <w:u w:val="single"/>
    </w:rPr>
  </w:style>
  <w:style w:type="paragraph" w:styleId="Topptekst">
    <w:name w:val="header"/>
    <w:basedOn w:val="Normal"/>
    <w:link w:val="TopptekstTegn"/>
    <w:uiPriority w:val="99"/>
    <w:unhideWhenUsed/>
    <w:rsid w:val="007F7B64"/>
    <w:pPr>
      <w:tabs>
        <w:tab w:val="center" w:pos="4536"/>
        <w:tab w:val="right" w:pos="9072"/>
      </w:tabs>
    </w:pPr>
  </w:style>
  <w:style w:type="character" w:customStyle="1" w:styleId="TopptekstTegn">
    <w:name w:val="Topptekst Tegn"/>
    <w:link w:val="Topptekst"/>
    <w:uiPriority w:val="99"/>
    <w:rsid w:val="007F7B64"/>
    <w:rPr>
      <w:rFonts w:ascii="Calibri" w:hAnsi="Calibri"/>
    </w:rPr>
  </w:style>
  <w:style w:type="paragraph" w:styleId="Bunntekst">
    <w:name w:val="footer"/>
    <w:basedOn w:val="Normal"/>
    <w:link w:val="BunntekstTegn"/>
    <w:uiPriority w:val="99"/>
    <w:unhideWhenUsed/>
    <w:rsid w:val="007F7B64"/>
    <w:pPr>
      <w:tabs>
        <w:tab w:val="center" w:pos="4536"/>
        <w:tab w:val="right" w:pos="9072"/>
      </w:tabs>
    </w:pPr>
  </w:style>
  <w:style w:type="character" w:customStyle="1" w:styleId="BunntekstTegn">
    <w:name w:val="Bunntekst Tegn"/>
    <w:link w:val="Bunntekst"/>
    <w:uiPriority w:val="99"/>
    <w:rsid w:val="007F7B64"/>
    <w:rPr>
      <w:rFonts w:ascii="Calibri" w:hAnsi="Calibri"/>
    </w:rPr>
  </w:style>
  <w:style w:type="paragraph" w:styleId="Listeavsnitt">
    <w:name w:val="List Paragraph"/>
    <w:basedOn w:val="Normal"/>
    <w:uiPriority w:val="34"/>
    <w:qFormat/>
    <w:rsid w:val="00AA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handbok.ous-hf.no/document/592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handbok.ous-hf.no/document/592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andbok.ous-hf.no/document/59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K:\Felles\DST\Delte\FPS\MHU_Ressurssiden%20KDS\1_Adm_Ressurside_KDS\Vedlegg_prosedyrer" TargetMode="External"/><Relationship Id="rId4" Type="http://schemas.openxmlformats.org/officeDocument/2006/relationships/settings" Target="settings.xml"/><Relationship Id="rId9" Type="http://schemas.openxmlformats.org/officeDocument/2006/relationships/hyperlink" Target="http://ehandbok.ous-hf.no/Modules/Module_136/handbook_view.aspx?documentId=3864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chr\AppData\Local\Microsoft\Windows\Temporary%20Internet%20Files\Content.IE5\O6TEPYY9\AGREE+metoderapport+v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C063-BBFE-4657-8A67-98E36F25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AGREE+metoderapport+v5</Template>
  <TotalTime>2</TotalTime>
  <Pages>6</Pages>
  <Words>2008</Words>
  <Characters>10644</Characters>
  <Application>Microsoft Office Word</Application>
  <DocSecurity>0</DocSecurity>
  <PresentationFormat/>
  <Lines>88</Lines>
  <Paragraphs>25</Paragraphs>
  <Slides>0</Slides>
  <Notes>0</Notes>
  <HiddenSlides>0</HiddenSlides>
  <MMClips>0</MMClip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12627</CharactersWithSpaces>
  <SharedDoc>false</SharedDoc>
  <HLinks>
    <vt:vector size="6" baseType="variant">
      <vt:variant>
        <vt:i4>6684776</vt:i4>
      </vt:variant>
      <vt:variant>
        <vt:i4>38</vt:i4>
      </vt:variant>
      <vt:variant>
        <vt:i4>0</vt:i4>
      </vt:variant>
      <vt:variant>
        <vt:i4>5</vt:i4>
      </vt:variant>
      <vt:variant>
        <vt:lpwstr>http://ehandbok.ous-hf.no/Modules/Module_136/handbook_view.aspx?documentId=38645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Lisa Lundstrøm</cp:lastModifiedBy>
  <cp:revision>7</cp:revision>
  <cp:lastPrinted>2012-09-20T10:18:00Z</cp:lastPrinted>
  <dcterms:created xsi:type="dcterms:W3CDTF">2022-09-06T11:14:00Z</dcterms:created>
  <dcterms:modified xsi:type="dcterms:W3CDTF">2022-09-30T07:24:00Z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