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FA7B76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9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FA7B76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0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1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2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561232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1232">
              <w:t>Roller definert under avsnitt 2. Ansvar.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561232" w:rsidRDefault="00C05AB7" w:rsidP="00561232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1232">
              <w:t>Cecilie Langvik, Spesialkonsulent, MTA</w:t>
            </w:r>
            <w:r w:rsidR="00EC20AA">
              <w:t xml:space="preserve"> SA</w:t>
            </w:r>
          </w:p>
          <w:p w:rsidR="00561232" w:rsidRDefault="00561232" w:rsidP="00561232">
            <w:pPr>
              <w:ind w:left="108"/>
            </w:pPr>
            <w:r w:rsidRPr="00561232">
              <w:t>Per Arnesen</w:t>
            </w:r>
            <w:r>
              <w:t>, Rådgiver, MTA</w:t>
            </w:r>
            <w:r w:rsidR="00EC20AA">
              <w:t xml:space="preserve"> NOM</w:t>
            </w:r>
          </w:p>
          <w:p w:rsidR="00561232" w:rsidRDefault="00561232" w:rsidP="00561232">
            <w:pPr>
              <w:ind w:left="108"/>
            </w:pPr>
            <w:r w:rsidRPr="00561232">
              <w:t>Line Greve,</w:t>
            </w:r>
            <w:r>
              <w:t xml:space="preserve"> Spesialrådgiver, TIK</w:t>
            </w:r>
            <w:r w:rsidR="00EC20AA">
              <w:t xml:space="preserve"> Stab</w:t>
            </w:r>
          </w:p>
          <w:p w:rsidR="00561232" w:rsidRDefault="00561232" w:rsidP="00561232">
            <w:pPr>
              <w:ind w:left="108"/>
            </w:pPr>
            <w:r w:rsidRPr="00561232">
              <w:t>Per-Arne Jørgensen,</w:t>
            </w:r>
            <w:r>
              <w:t xml:space="preserve"> Seksjonsleder MTA</w:t>
            </w:r>
            <w:r w:rsidR="00EC20AA">
              <w:t xml:space="preserve"> NOM</w:t>
            </w:r>
          </w:p>
          <w:p w:rsidR="00561232" w:rsidRDefault="00561232" w:rsidP="00561232">
            <w:pPr>
              <w:ind w:left="108"/>
            </w:pPr>
            <w:r w:rsidRPr="00561232">
              <w:t xml:space="preserve">Mubashar Shafi, </w:t>
            </w:r>
            <w:r>
              <w:t>Seksjonsleder, MTA</w:t>
            </w:r>
            <w:r w:rsidR="00EC20AA">
              <w:t xml:space="preserve"> Service</w:t>
            </w:r>
          </w:p>
          <w:p w:rsidR="00561232" w:rsidRDefault="00561232" w:rsidP="00561232">
            <w:pPr>
              <w:ind w:left="108"/>
            </w:pPr>
            <w:r w:rsidRPr="00561232">
              <w:t>Trond Strømme</w:t>
            </w:r>
            <w:r>
              <w:t>, Spesialrådgiver, MTA</w:t>
            </w:r>
            <w:r w:rsidR="00EC20AA">
              <w:t xml:space="preserve"> Stab</w:t>
            </w:r>
          </w:p>
          <w:p w:rsidR="00561232" w:rsidRDefault="00561232" w:rsidP="00561232">
            <w:pPr>
              <w:ind w:left="108"/>
            </w:pPr>
          </w:p>
          <w:p w:rsidR="00561232" w:rsidRDefault="00561232" w:rsidP="00561232">
            <w:pPr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Andre involverte:</w:t>
            </w:r>
          </w:p>
          <w:p w:rsidR="00FA7B76" w:rsidRDefault="00561232" w:rsidP="00EC20AA">
            <w:pPr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 xml:space="preserve">Fagråd for </w:t>
            </w:r>
            <w:r w:rsidR="00EC20AA">
              <w:rPr>
                <w:rFonts w:eastAsia="MS Mincho"/>
              </w:rPr>
              <w:t xml:space="preserve">MTU </w:t>
            </w:r>
            <w:r>
              <w:rPr>
                <w:rFonts w:eastAsia="MS Mincho"/>
              </w:rPr>
              <w:t>IKT</w:t>
            </w:r>
            <w:r w:rsidR="00EC20AA">
              <w:rPr>
                <w:rFonts w:eastAsia="MS Mincho"/>
              </w:rPr>
              <w:t xml:space="preserve"> og Informasjonssikkerhet</w:t>
            </w:r>
          </w:p>
          <w:p w:rsidR="009C5AB9" w:rsidRDefault="00FA7B76" w:rsidP="00EC20AA">
            <w:pPr>
              <w:ind w:left="108"/>
            </w:pPr>
            <w:r>
              <w:rPr>
                <w:rFonts w:eastAsia="MS Mincho"/>
              </w:rPr>
              <w:t>MTA LM</w:t>
            </w:r>
            <w:bookmarkStart w:id="0" w:name="_GoBack"/>
            <w:bookmarkEnd w:id="0"/>
            <w:r w:rsidR="00C05AB7"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9C5AB9" w:rsidRDefault="00C05AB7" w:rsidP="00EC20AA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20AA">
              <w:t>Regional samhandlingsmodell for MTU-IKT ble godkjent og vedtatt i HSØ 24. juni 2021. TIK fikk i oppdrag å definere hvordan denne skal implementeres i OUS. Dokumentet beskriver prosessflyt og prosedyre.</w:t>
            </w:r>
            <w:r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EC20AA" w:rsidRDefault="00C74BB8" w:rsidP="00EC20AA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</w:p>
          <w:p w:rsidR="009C5AB9" w:rsidRDefault="00EC20AA" w:rsidP="00EC20AA">
            <w:pPr>
              <w:ind w:left="108"/>
            </w:pPr>
            <w:r>
              <w:t>Sak beskrevet i dokument datert 07.10.2021 med referanse 14/00393-17 fra HSØ.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FA7B76" w:rsidRPr="00FA7B76" w:rsidRDefault="002229D3" w:rsidP="00FA7B76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20AA">
              <w:t xml:space="preserve">Sak </w:t>
            </w:r>
            <w:r w:rsidR="00EC20AA" w:rsidRPr="00EC20AA">
              <w:t>forankring i TIK-ledermøte i desember 2021, ble lagt frem og behandlet i OUS-ledermøte 24. mai 2022 (sak 159/22)</w:t>
            </w:r>
            <w:r w:rsidR="00FA7B76">
              <w:t xml:space="preserve">: </w:t>
            </w:r>
            <w:r w:rsidR="00FA7B76" w:rsidRPr="00FA7B76">
              <w:t xml:space="preserve">"Vedtak: Ledergruppen tar saken til orientering." </w:t>
            </w:r>
          </w:p>
          <w:p w:rsidR="00FA7B76" w:rsidRDefault="00FA7B76" w:rsidP="00FA7B76">
            <w:pPr>
              <w:spacing w:before="40"/>
              <w:ind w:left="108"/>
              <w:rPr>
                <w:rFonts w:eastAsia="MS Mincho"/>
              </w:rPr>
            </w:pPr>
            <w:r w:rsidRPr="00FA7B76">
              <w:t>2022 05 24 Godkjent referat fra ledermøte.pdf (ous-hf.no)</w:t>
            </w:r>
          </w:p>
          <w:p w:rsidR="002229D3" w:rsidRDefault="002229D3" w:rsidP="00FA7B76">
            <w:pPr>
              <w:spacing w:before="40"/>
              <w:ind w:left="108"/>
            </w:pPr>
            <w:r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Nei,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lastRenderedPageBreak/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 w:rsidR="00A61C28">
              <w:t xml:space="preserve">  Stor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A7B76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FA7B76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>
              <w:instrText xml:space="preserve"> FORMTEXT </w:instrText>
            </w:r>
            <w:r>
              <w:fldChar w:fldCharType="separate"/>
            </w:r>
            <w:r w:rsidR="00FA7B76" w:rsidRPr="00FA7B76">
              <w:t>Cecilie Langvik</w:t>
            </w:r>
            <w:r w:rsidR="00FA7B76">
              <w:t>, Spesialkonsulent</w:t>
            </w:r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FA7B76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>
              <w:instrText xml:space="preserve"> FORMTEXT </w:instrText>
            </w:r>
            <w:r>
              <w:fldChar w:fldCharType="separate"/>
            </w:r>
            <w:r w:rsidR="00FA7B76">
              <w:t>952 10 404</w:t>
            </w:r>
            <w:r>
              <w:fldChar w:fldCharType="end"/>
            </w:r>
            <w:bookmarkEnd w:id="2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FA7B76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instrText xml:space="preserve"> FORMTEXT </w:instrText>
            </w:r>
            <w:r>
              <w:fldChar w:fldCharType="separate"/>
            </w:r>
            <w:r w:rsidR="00FA7B76">
              <w:t>13.9.22</w:t>
            </w:r>
            <w:r>
              <w:fldChar w:fldCharType="end"/>
            </w:r>
            <w:bookmarkEnd w:id="3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4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80" w:rsidRDefault="00E32780" w:rsidP="007F7B64">
      <w:r>
        <w:separator/>
      </w:r>
    </w:p>
  </w:endnote>
  <w:endnote w:type="continuationSeparator" w:id="0">
    <w:p w:rsidR="00E32780" w:rsidRDefault="00E32780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7F7B64" w:rsidTr="00844F4C">
      <w:tc>
        <w:tcPr>
          <w:tcW w:w="2270" w:type="pct"/>
          <w:gridSpan w:val="2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0E2422"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E2422">
            <w:rPr>
              <w:rFonts w:ascii="Arial Narrow" w:hAnsi="Arial Narrow" w:cs="Times-Roman"/>
              <w:sz w:val="14"/>
              <w:szCs w:val="24"/>
            </w:rPr>
            <w:t>8</w:t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1C5A33">
            <w:rPr>
              <w:rFonts w:ascii="Arial Narrow" w:hAnsi="Arial Narrow" w:cs="Times-Roman"/>
              <w:noProof/>
              <w:sz w:val="14"/>
              <w:szCs w:val="24"/>
            </w:rPr>
            <w:t>09.05.19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FA7B7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FA7B7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80" w:rsidRDefault="00E32780" w:rsidP="007F7B64">
      <w:r>
        <w:separator/>
      </w:r>
    </w:p>
  </w:footnote>
  <w:footnote w:type="continuationSeparator" w:id="0">
    <w:p w:rsidR="00E32780" w:rsidRDefault="00E32780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80"/>
    <w:rsid w:val="00015BC7"/>
    <w:rsid w:val="000E2422"/>
    <w:rsid w:val="001C5A33"/>
    <w:rsid w:val="002229D3"/>
    <w:rsid w:val="002D32C9"/>
    <w:rsid w:val="00321CA8"/>
    <w:rsid w:val="00382662"/>
    <w:rsid w:val="003831E6"/>
    <w:rsid w:val="00454337"/>
    <w:rsid w:val="004C1531"/>
    <w:rsid w:val="00561232"/>
    <w:rsid w:val="005743BF"/>
    <w:rsid w:val="0066264D"/>
    <w:rsid w:val="006C4267"/>
    <w:rsid w:val="007F7B64"/>
    <w:rsid w:val="00844F4C"/>
    <w:rsid w:val="00941CF7"/>
    <w:rsid w:val="009C5AB9"/>
    <w:rsid w:val="00A061B6"/>
    <w:rsid w:val="00A61C28"/>
    <w:rsid w:val="00A958A7"/>
    <w:rsid w:val="00AA6E75"/>
    <w:rsid w:val="00BE1B39"/>
    <w:rsid w:val="00C05AB7"/>
    <w:rsid w:val="00C3480F"/>
    <w:rsid w:val="00C74BB8"/>
    <w:rsid w:val="00D842AF"/>
    <w:rsid w:val="00D919B2"/>
    <w:rsid w:val="00E32780"/>
    <w:rsid w:val="00EC20AA"/>
    <w:rsid w:val="00F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EAB2AF9"/>
  <w15:docId w15:val="{7713A62F-F36D-4D71-A3F0-F3EB43D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andbok.ous-hf.no/document/592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andbok.ous-hf.no/document/59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Felles\DST\Delte\FPS\MHU_Ressurssiden%20KDS\1_Adm_Ressurside_KDS\Vedlegg_prosedy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3864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F326-DD65-4989-A889-0DB3A0F1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38</TotalTime>
  <Pages>3</Pages>
  <Words>933</Words>
  <Characters>4947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5869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Cecilie Langvik</cp:lastModifiedBy>
  <cp:revision>3</cp:revision>
  <cp:lastPrinted>2012-09-20T10:18:00Z</cp:lastPrinted>
  <dcterms:created xsi:type="dcterms:W3CDTF">2022-09-13T11:04:00Z</dcterms:created>
  <dcterms:modified xsi:type="dcterms:W3CDTF">2022-09-13T11:42:00Z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