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E484B" w14:textId="5B637019" w:rsidR="00E75C48" w:rsidRDefault="00AB5E6F" w:rsidP="001F5839">
      <w:pPr>
        <w:jc w:val="center"/>
      </w:pPr>
      <w:bookmarkStart w:id="0" w:name="_GoBack"/>
      <w:bookmarkEnd w:id="0"/>
      <w:r>
        <w:rPr>
          <w:noProof/>
          <w:lang w:val="nb-NO" w:eastAsia="nb-NO"/>
        </w:rPr>
        <w:drawing>
          <wp:inline distT="0" distB="0" distL="0" distR="0" wp14:anchorId="10D0664C" wp14:editId="0F061244">
            <wp:extent cx="5499100" cy="3787791"/>
            <wp:effectExtent l="0" t="0" r="6350"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6387" cy="3813474"/>
                    </a:xfrm>
                    <a:prstGeom prst="rect">
                      <a:avLst/>
                    </a:prstGeom>
                  </pic:spPr>
                </pic:pic>
              </a:graphicData>
            </a:graphic>
          </wp:inline>
        </w:drawing>
      </w:r>
    </w:p>
    <w:p w14:paraId="70A4CEF8" w14:textId="7B024A4D" w:rsidR="0082289D" w:rsidRDefault="00BA414B" w:rsidP="0082289D">
      <w:pPr>
        <w:rPr>
          <w:vertAlign w:val="subscript"/>
          <w:lang w:val="nb-NO"/>
        </w:rPr>
      </w:pPr>
      <w:r w:rsidRPr="00BA414B">
        <w:rPr>
          <w:lang w:val="nb-NO"/>
        </w:rPr>
        <w:t>Ru</w:t>
      </w:r>
      <w:r>
        <w:rPr>
          <w:lang w:val="nb-NO"/>
        </w:rPr>
        <w:t>tine</w:t>
      </w:r>
      <w:r w:rsidR="00A52903">
        <w:rPr>
          <w:lang w:val="nb-NO"/>
        </w:rPr>
        <w:t>messig gjøres følgende</w:t>
      </w:r>
      <w:r>
        <w:rPr>
          <w:lang w:val="nb-NO"/>
        </w:rPr>
        <w:t>:</w:t>
      </w:r>
      <w:r w:rsidR="0082289D">
        <w:rPr>
          <w:lang w:val="nb-NO"/>
        </w:rPr>
        <w:t xml:space="preserve"> Klinisk evaluering, arteriell blodgass, 3 måneders data fra NIV apparat, nattlig pulsoks</w:t>
      </w:r>
      <w:r w:rsidR="00232FB1">
        <w:rPr>
          <w:lang w:val="nb-NO"/>
        </w:rPr>
        <w:t>y</w:t>
      </w:r>
      <w:r w:rsidR="0082289D">
        <w:rPr>
          <w:lang w:val="nb-NO"/>
        </w:rPr>
        <w:t>metri og transkutan CO</w:t>
      </w:r>
      <w:r w:rsidR="0082289D" w:rsidRPr="0082289D">
        <w:rPr>
          <w:vertAlign w:val="subscript"/>
          <w:lang w:val="nb-NO"/>
        </w:rPr>
        <w:t>2</w:t>
      </w:r>
    </w:p>
    <w:p w14:paraId="632B5F30" w14:textId="21E95B66" w:rsidR="0082289D" w:rsidRDefault="00BF40F9" w:rsidP="00BF40F9">
      <w:pPr>
        <w:pStyle w:val="Listeavsnitt"/>
        <w:numPr>
          <w:ilvl w:val="0"/>
          <w:numId w:val="1"/>
        </w:numPr>
        <w:rPr>
          <w:lang w:val="nb-NO"/>
        </w:rPr>
      </w:pPr>
      <w:r>
        <w:rPr>
          <w:lang w:val="nb-NO"/>
        </w:rPr>
        <w:t xml:space="preserve">Klinisk evaluering: </w:t>
      </w:r>
      <w:r w:rsidR="00BA414B">
        <w:rPr>
          <w:lang w:val="nb-NO"/>
        </w:rPr>
        <w:t>S</w:t>
      </w:r>
      <w:r>
        <w:rPr>
          <w:lang w:val="nb-NO"/>
        </w:rPr>
        <w:t>ymptomer på hypoventilasjon?</w:t>
      </w:r>
    </w:p>
    <w:p w14:paraId="1931CBDC" w14:textId="099F7622" w:rsidR="00BF40F9" w:rsidRDefault="00BF40F9" w:rsidP="00BF40F9">
      <w:pPr>
        <w:pStyle w:val="Listeavsnitt"/>
        <w:numPr>
          <w:ilvl w:val="0"/>
          <w:numId w:val="1"/>
        </w:numPr>
        <w:rPr>
          <w:lang w:val="nb-NO"/>
        </w:rPr>
      </w:pPr>
      <w:r>
        <w:rPr>
          <w:lang w:val="nb-NO"/>
        </w:rPr>
        <w:t>Arteriell blodgass: Tas uten NIV. Ved bruk av LTOT tas blodgass med oksygen</w:t>
      </w:r>
      <w:r w:rsidR="00B40712">
        <w:rPr>
          <w:lang w:val="nb-NO"/>
        </w:rPr>
        <w:t>, men v</w:t>
      </w:r>
      <w:r>
        <w:rPr>
          <w:lang w:val="nb-NO"/>
        </w:rPr>
        <w:t>ed høy CO</w:t>
      </w:r>
      <w:r w:rsidRPr="00BF40F9">
        <w:rPr>
          <w:vertAlign w:val="subscript"/>
          <w:lang w:val="nb-NO"/>
        </w:rPr>
        <w:t>2</w:t>
      </w:r>
      <w:r>
        <w:rPr>
          <w:vertAlign w:val="subscript"/>
          <w:lang w:val="nb-NO"/>
        </w:rPr>
        <w:t xml:space="preserve"> </w:t>
      </w:r>
      <w:r w:rsidRPr="00BF40F9">
        <w:rPr>
          <w:lang w:val="nb-NO"/>
        </w:rPr>
        <w:t>vurder også blodgass uten oksygen</w:t>
      </w:r>
      <w:r>
        <w:rPr>
          <w:lang w:val="nb-NO"/>
        </w:rPr>
        <w:t xml:space="preserve">. </w:t>
      </w:r>
      <w:r w:rsidR="00B86A48">
        <w:rPr>
          <w:lang w:val="nb-NO"/>
        </w:rPr>
        <w:t xml:space="preserve">Ved </w:t>
      </w:r>
      <w:r>
        <w:rPr>
          <w:lang w:val="nb-NO"/>
        </w:rPr>
        <w:t xml:space="preserve">NIV </w:t>
      </w:r>
      <w:r w:rsidR="00B86A48">
        <w:rPr>
          <w:lang w:val="nb-NO"/>
        </w:rPr>
        <w:t xml:space="preserve">bruk </w:t>
      </w:r>
      <w:r>
        <w:rPr>
          <w:lang w:val="nb-NO"/>
        </w:rPr>
        <w:t xml:space="preserve">også på dagtid utover korte hvileperioder tas blodgass også med NIV. Ved </w:t>
      </w:r>
      <w:proofErr w:type="spellStart"/>
      <w:r>
        <w:rPr>
          <w:lang w:val="nb-NO"/>
        </w:rPr>
        <w:t>hjemmesykehus</w:t>
      </w:r>
      <w:proofErr w:type="spellEnd"/>
      <w:r>
        <w:rPr>
          <w:lang w:val="nb-NO"/>
        </w:rPr>
        <w:t xml:space="preserve"> eller hos pasienter hvor blodgass </w:t>
      </w:r>
      <w:r w:rsidR="00F86816">
        <w:rPr>
          <w:lang w:val="nb-NO"/>
        </w:rPr>
        <w:t xml:space="preserve">er vanskelig </w:t>
      </w:r>
      <w:r>
        <w:rPr>
          <w:lang w:val="nb-NO"/>
        </w:rPr>
        <w:t>kan punktmåling med transkutan CO</w:t>
      </w:r>
      <w:r w:rsidRPr="00B40712">
        <w:rPr>
          <w:vertAlign w:val="subscript"/>
          <w:lang w:val="nb-NO"/>
        </w:rPr>
        <w:t>2</w:t>
      </w:r>
      <w:r>
        <w:rPr>
          <w:lang w:val="nb-NO"/>
        </w:rPr>
        <w:t xml:space="preserve"> erstatte arteriell blodgass. </w:t>
      </w:r>
      <w:r w:rsidR="00B40712">
        <w:rPr>
          <w:lang w:val="nb-NO"/>
        </w:rPr>
        <w:t>Arteriell blodgass bør likevel tilstrebes ved mistenkt hyperkapni</w:t>
      </w:r>
      <w:proofErr w:type="gramStart"/>
      <w:r w:rsidR="00B40712">
        <w:rPr>
          <w:lang w:val="nb-NO"/>
        </w:rPr>
        <w:t xml:space="preserve"> (ved uttalt nattlig hypoventilasjon, forhøyet transkutan CO2 på dagtid, mistenkt hypoventilasjon ved normal transkutan CO</w:t>
      </w:r>
      <w:r w:rsidR="00B40712" w:rsidRPr="00B40712">
        <w:rPr>
          <w:vertAlign w:val="subscript"/>
          <w:lang w:val="nb-NO"/>
        </w:rPr>
        <w:t>2</w:t>
      </w:r>
      <w:r w:rsidR="00B55CD6">
        <w:rPr>
          <w:vertAlign w:val="subscript"/>
          <w:lang w:val="nb-NO"/>
        </w:rPr>
        <w:t>.</w:t>
      </w:r>
      <w:proofErr w:type="gramEnd"/>
      <w:r w:rsidR="00B55CD6">
        <w:rPr>
          <w:vertAlign w:val="subscript"/>
          <w:lang w:val="nb-NO"/>
        </w:rPr>
        <w:t xml:space="preserve"> </w:t>
      </w:r>
      <w:r w:rsidR="00B55CD6">
        <w:rPr>
          <w:lang w:val="nb-NO"/>
        </w:rPr>
        <w:t>V</w:t>
      </w:r>
      <w:r w:rsidR="00B40712">
        <w:rPr>
          <w:lang w:val="nb-NO"/>
        </w:rPr>
        <w:t xml:space="preserve">ed et års kontroll etter oppstart NIV </w:t>
      </w:r>
      <w:r w:rsidR="00B55CD6">
        <w:rPr>
          <w:lang w:val="nb-NO"/>
        </w:rPr>
        <w:t>bør arteriell blodgass tilstreb</w:t>
      </w:r>
      <w:r w:rsidR="00CE57C6">
        <w:rPr>
          <w:lang w:val="nb-NO"/>
        </w:rPr>
        <w:t xml:space="preserve"> </w:t>
      </w:r>
      <w:r w:rsidR="00B55CD6">
        <w:rPr>
          <w:lang w:val="nb-NO"/>
        </w:rPr>
        <w:t xml:space="preserve">es. (Skal registreres i nasjonalt </w:t>
      </w:r>
      <w:r w:rsidR="00CE57C6">
        <w:rPr>
          <w:lang w:val="nb-NO"/>
        </w:rPr>
        <w:t xml:space="preserve">LTMV </w:t>
      </w:r>
      <w:r w:rsidR="00B55CD6">
        <w:rPr>
          <w:lang w:val="nb-NO"/>
        </w:rPr>
        <w:t>register</w:t>
      </w:r>
      <w:r w:rsidR="00CE57C6">
        <w:rPr>
          <w:lang w:val="nb-NO"/>
        </w:rPr>
        <w:t>)</w:t>
      </w:r>
      <w:r w:rsidR="00557106">
        <w:rPr>
          <w:lang w:val="nb-NO"/>
        </w:rPr>
        <w:t>.</w:t>
      </w:r>
      <w:r w:rsidR="00B55CD6">
        <w:rPr>
          <w:lang w:val="nb-NO"/>
        </w:rPr>
        <w:t xml:space="preserve"> For</w:t>
      </w:r>
      <w:r w:rsidR="00B40712">
        <w:rPr>
          <w:lang w:val="nb-NO"/>
        </w:rPr>
        <w:t xml:space="preserve"> pasienter ved antatt </w:t>
      </w:r>
      <w:r w:rsidR="00B55CD6">
        <w:rPr>
          <w:lang w:val="nb-NO"/>
        </w:rPr>
        <w:t xml:space="preserve">sykdomsprogresjon som følges ved </w:t>
      </w:r>
      <w:proofErr w:type="spellStart"/>
      <w:r w:rsidR="00B55CD6">
        <w:rPr>
          <w:lang w:val="nb-NO"/>
        </w:rPr>
        <w:t>hjemmesykehus</w:t>
      </w:r>
      <w:proofErr w:type="spellEnd"/>
      <w:r w:rsidR="00B55CD6">
        <w:rPr>
          <w:lang w:val="nb-NO"/>
        </w:rPr>
        <w:t xml:space="preserve"> bør en alternere mellom oppmøte på poliklinikk og videokonsultasjon slik at arteriell blodgass av og til kan måles. </w:t>
      </w:r>
    </w:p>
    <w:p w14:paraId="4F72E913" w14:textId="204BAA3C" w:rsidR="00B55CD6" w:rsidRDefault="00443B0F" w:rsidP="00BF40F9">
      <w:pPr>
        <w:pStyle w:val="Listeavsnitt"/>
        <w:numPr>
          <w:ilvl w:val="0"/>
          <w:numId w:val="1"/>
        </w:numPr>
        <w:rPr>
          <w:lang w:val="nb-NO"/>
        </w:rPr>
      </w:pPr>
      <w:proofErr w:type="spellStart"/>
      <w:r>
        <w:rPr>
          <w:lang w:val="nb-NO"/>
        </w:rPr>
        <w:t>Compliance</w:t>
      </w:r>
      <w:proofErr w:type="spellEnd"/>
      <w:r>
        <w:rPr>
          <w:lang w:val="nb-NO"/>
        </w:rPr>
        <w:t xml:space="preserve"> data vurderes ut fra median bruk i </w:t>
      </w:r>
      <w:r w:rsidR="00554FDC">
        <w:rPr>
          <w:lang w:val="nb-NO"/>
        </w:rPr>
        <w:t>statistikk</w:t>
      </w:r>
      <w:r>
        <w:rPr>
          <w:lang w:val="nb-NO"/>
        </w:rPr>
        <w:t xml:space="preserve"> fra maskin, inspeksjon av </w:t>
      </w:r>
      <w:r w:rsidR="00554FDC">
        <w:rPr>
          <w:lang w:val="nb-NO"/>
        </w:rPr>
        <w:t>grafikk for daglig bruk i ResScan og anamnese. Bruk &gt; 4timer/døgn er vist å ha effekt, men vil ofte være utilstrekkelig for mange pasienter. Ved utilstrekkelig bruk kartlegg årsaker.</w:t>
      </w:r>
    </w:p>
    <w:p w14:paraId="32095679" w14:textId="265F024C" w:rsidR="0082289D" w:rsidRDefault="003A6DD5" w:rsidP="0082289D">
      <w:pPr>
        <w:pStyle w:val="Listeavsnitt"/>
        <w:numPr>
          <w:ilvl w:val="0"/>
          <w:numId w:val="1"/>
        </w:numPr>
        <w:rPr>
          <w:lang w:val="nb-NO"/>
        </w:rPr>
      </w:pPr>
      <w:r w:rsidRPr="003A6DD5">
        <w:rPr>
          <w:lang w:val="nb-NO"/>
        </w:rPr>
        <w:t xml:space="preserve">Vurdering av lekkasje. Tall fra maskin sier ikke noe om klinisk betydningsfull lekkasje og maske eller trykk justering bør ikke gjøres kun på bakgrunn av dette. Maskin vil kompensere for lekkasje. Hvis lekkasje er plagsom for pasient, </w:t>
      </w:r>
      <w:r>
        <w:rPr>
          <w:lang w:val="nb-NO"/>
        </w:rPr>
        <w:t xml:space="preserve">medfører </w:t>
      </w:r>
      <w:r w:rsidRPr="003A6DD5">
        <w:rPr>
          <w:lang w:val="nb-NO"/>
        </w:rPr>
        <w:t xml:space="preserve">manglende </w:t>
      </w:r>
      <w:proofErr w:type="spellStart"/>
      <w:r w:rsidRPr="003A6DD5">
        <w:rPr>
          <w:lang w:val="nb-NO"/>
        </w:rPr>
        <w:t>compliance</w:t>
      </w:r>
      <w:proofErr w:type="spellEnd"/>
      <w:r w:rsidRPr="003A6DD5">
        <w:rPr>
          <w:lang w:val="nb-NO"/>
        </w:rPr>
        <w:t xml:space="preserve"> eller nedsatt effekt av behandling bedømt med SpO</w:t>
      </w:r>
      <w:r w:rsidRPr="00C52312">
        <w:rPr>
          <w:vertAlign w:val="subscript"/>
          <w:lang w:val="nb-NO"/>
        </w:rPr>
        <w:t>2</w:t>
      </w:r>
      <w:r w:rsidRPr="003A6DD5">
        <w:rPr>
          <w:lang w:val="nb-NO"/>
        </w:rPr>
        <w:t xml:space="preserve"> /PtCO</w:t>
      </w:r>
      <w:r w:rsidRPr="00C52312">
        <w:rPr>
          <w:vertAlign w:val="subscript"/>
          <w:lang w:val="nb-NO"/>
        </w:rPr>
        <w:t>2</w:t>
      </w:r>
      <w:r w:rsidRPr="003A6DD5">
        <w:rPr>
          <w:lang w:val="nb-NO"/>
        </w:rPr>
        <w:t xml:space="preserve"> </w:t>
      </w:r>
      <w:r>
        <w:rPr>
          <w:lang w:val="nb-NO"/>
        </w:rPr>
        <w:t>skal det korrigeres.</w:t>
      </w:r>
    </w:p>
    <w:p w14:paraId="4AC599B9" w14:textId="4D35D607" w:rsidR="00D0127A" w:rsidRDefault="00D0127A" w:rsidP="00D0127A">
      <w:pPr>
        <w:pStyle w:val="Listeavsnitt"/>
        <w:numPr>
          <w:ilvl w:val="0"/>
          <w:numId w:val="1"/>
        </w:numPr>
        <w:rPr>
          <w:lang w:val="nb-NO"/>
        </w:rPr>
      </w:pPr>
      <w:r>
        <w:rPr>
          <w:lang w:val="nb-NO"/>
        </w:rPr>
        <w:t>Høy AHI (&gt; 5/time)</w:t>
      </w:r>
      <w:r w:rsidR="00C52312">
        <w:rPr>
          <w:lang w:val="nb-NO"/>
        </w:rPr>
        <w:t xml:space="preserve"> </w:t>
      </w:r>
      <w:r>
        <w:rPr>
          <w:lang w:val="nb-NO"/>
        </w:rPr>
        <w:t xml:space="preserve">fra maskin. Kan indikere øvre luftveisobstruksjon, særlig ved samtidig ODI&gt;5. Eventuell endring av maskininnstillinger gjøres derfor først etter en natts </w:t>
      </w:r>
      <w:proofErr w:type="spellStart"/>
      <w:r>
        <w:rPr>
          <w:lang w:val="nb-NO"/>
        </w:rPr>
        <w:t>monitorering</w:t>
      </w:r>
      <w:proofErr w:type="spellEnd"/>
      <w:r w:rsidR="00111F28">
        <w:rPr>
          <w:lang w:val="nb-NO"/>
        </w:rPr>
        <w:t>.</w:t>
      </w:r>
      <w:r>
        <w:rPr>
          <w:lang w:val="nb-NO"/>
        </w:rPr>
        <w:t xml:space="preserve"> Hvis klinisk mistanke om øvre luftveisobstruksjon kan </w:t>
      </w:r>
      <w:proofErr w:type="spellStart"/>
      <w:r>
        <w:rPr>
          <w:lang w:val="nb-NO"/>
        </w:rPr>
        <w:t>polygrafi</w:t>
      </w:r>
      <w:proofErr w:type="spellEnd"/>
      <w:r>
        <w:rPr>
          <w:lang w:val="nb-NO"/>
        </w:rPr>
        <w:t xml:space="preserve"> (NOXA1) brukes, men krever at pasient kan være på rom 26 eller 69. Kontakt sengepost så tidlig som mulig for avklaring. Ved mistanke om klinisk betydningsfull øvre luftveisobstruksjon, høy AHI og ODI kan EPAP økes uten </w:t>
      </w:r>
      <w:proofErr w:type="spellStart"/>
      <w:r>
        <w:rPr>
          <w:lang w:val="nb-NO"/>
        </w:rPr>
        <w:t>polygrafi</w:t>
      </w:r>
      <w:proofErr w:type="spellEnd"/>
      <w:r>
        <w:rPr>
          <w:lang w:val="nb-NO"/>
        </w:rPr>
        <w:t xml:space="preserve"> sli</w:t>
      </w:r>
      <w:r w:rsidR="00111F28">
        <w:rPr>
          <w:lang w:val="nb-NO"/>
        </w:rPr>
        <w:t>k</w:t>
      </w:r>
      <w:r>
        <w:rPr>
          <w:lang w:val="nb-NO"/>
        </w:rPr>
        <w:t xml:space="preserve"> at </w:t>
      </w:r>
      <w:proofErr w:type="spellStart"/>
      <w:r>
        <w:rPr>
          <w:lang w:val="nb-NO"/>
        </w:rPr>
        <w:t>polygrafi</w:t>
      </w:r>
      <w:proofErr w:type="spellEnd"/>
      <w:r>
        <w:rPr>
          <w:lang w:val="nb-NO"/>
        </w:rPr>
        <w:t xml:space="preserve"> kan begrenses til der en ikke kommer til mål med øket E</w:t>
      </w:r>
      <w:r w:rsidR="00C50618">
        <w:rPr>
          <w:lang w:val="nb-NO"/>
        </w:rPr>
        <w:t>PAP</w:t>
      </w:r>
      <w:r>
        <w:rPr>
          <w:lang w:val="nb-NO"/>
        </w:rPr>
        <w:t xml:space="preserve"> eller mistenkt sent</w:t>
      </w:r>
      <w:r w:rsidR="00C50618">
        <w:rPr>
          <w:lang w:val="nb-NO"/>
        </w:rPr>
        <w:t>r</w:t>
      </w:r>
      <w:r>
        <w:rPr>
          <w:lang w:val="nb-NO"/>
        </w:rPr>
        <w:t xml:space="preserve">al apne eller </w:t>
      </w:r>
      <w:r w:rsidR="00C50618">
        <w:rPr>
          <w:lang w:val="nb-NO"/>
        </w:rPr>
        <w:t xml:space="preserve">pasient- respirator </w:t>
      </w:r>
      <w:proofErr w:type="spellStart"/>
      <w:r>
        <w:rPr>
          <w:lang w:val="nb-NO"/>
        </w:rPr>
        <w:t>asynkroni</w:t>
      </w:r>
      <w:proofErr w:type="spellEnd"/>
      <w:r>
        <w:rPr>
          <w:lang w:val="nb-NO"/>
        </w:rPr>
        <w:t>.</w:t>
      </w:r>
    </w:p>
    <w:p w14:paraId="395AF352" w14:textId="14B97726" w:rsidR="00F10E19" w:rsidRDefault="00C50618" w:rsidP="00C54186">
      <w:pPr>
        <w:pStyle w:val="Listeavsnitt"/>
        <w:numPr>
          <w:ilvl w:val="0"/>
          <w:numId w:val="1"/>
        </w:numPr>
        <w:rPr>
          <w:lang w:val="nb-NO"/>
        </w:rPr>
      </w:pPr>
      <w:r w:rsidRPr="001464D7">
        <w:rPr>
          <w:lang w:val="nb-NO"/>
        </w:rPr>
        <w:t>Nattlig pulsoks</w:t>
      </w:r>
      <w:r w:rsidR="00232FB1">
        <w:rPr>
          <w:lang w:val="nb-NO"/>
        </w:rPr>
        <w:t>y</w:t>
      </w:r>
      <w:r w:rsidRPr="001464D7">
        <w:rPr>
          <w:lang w:val="nb-NO"/>
        </w:rPr>
        <w:t>metri bedømmes ut fra ODI (</w:t>
      </w:r>
      <w:r w:rsidR="0081422F" w:rsidRPr="001464D7">
        <w:rPr>
          <w:lang w:val="nb-NO"/>
        </w:rPr>
        <w:t>antall episoder med</w:t>
      </w:r>
      <w:r w:rsidR="0018736F" w:rsidRPr="001464D7">
        <w:rPr>
          <w:lang w:val="nb-NO"/>
        </w:rPr>
        <w:t xml:space="preserve"> fall</w:t>
      </w:r>
      <w:r w:rsidR="00696685" w:rsidRPr="001464D7">
        <w:rPr>
          <w:lang w:val="nb-NO"/>
        </w:rPr>
        <w:t xml:space="preserve"> i SpO</w:t>
      </w:r>
      <w:r w:rsidR="00696685" w:rsidRPr="007455A6">
        <w:rPr>
          <w:vertAlign w:val="subscript"/>
          <w:lang w:val="nb-NO"/>
        </w:rPr>
        <w:t>2</w:t>
      </w:r>
      <w:r w:rsidR="00696685" w:rsidRPr="001464D7">
        <w:rPr>
          <w:lang w:val="nb-NO"/>
        </w:rPr>
        <w:t xml:space="preserve"> </w:t>
      </w:r>
      <w:r w:rsidR="00696685" w:rsidRPr="001464D7">
        <w:rPr>
          <w:rFonts w:cstheme="minorHAnsi"/>
          <w:lang w:val="nb-NO"/>
        </w:rPr>
        <w:t>≥</w:t>
      </w:r>
      <w:r w:rsidR="007455A6">
        <w:rPr>
          <w:rFonts w:cstheme="minorHAnsi"/>
          <w:lang w:val="nb-NO"/>
        </w:rPr>
        <w:t xml:space="preserve"> </w:t>
      </w:r>
      <w:proofErr w:type="gramStart"/>
      <w:r w:rsidR="00696685" w:rsidRPr="001464D7">
        <w:rPr>
          <w:lang w:val="nb-NO"/>
        </w:rPr>
        <w:t>3%</w:t>
      </w:r>
      <w:proofErr w:type="gramEnd"/>
      <w:r w:rsidR="00696685" w:rsidRPr="001464D7">
        <w:rPr>
          <w:lang w:val="nb-NO"/>
        </w:rPr>
        <w:t xml:space="preserve"> </w:t>
      </w:r>
      <w:r w:rsidR="0081422F" w:rsidRPr="001464D7">
        <w:rPr>
          <w:rFonts w:cstheme="minorHAnsi"/>
          <w:lang w:val="nb-NO"/>
        </w:rPr>
        <w:t>≥</w:t>
      </w:r>
      <w:r w:rsidR="0081422F" w:rsidRPr="001464D7">
        <w:rPr>
          <w:lang w:val="nb-NO"/>
        </w:rPr>
        <w:t>10 sekunder</w:t>
      </w:r>
      <w:r w:rsidR="0018736F" w:rsidRPr="001464D7">
        <w:rPr>
          <w:lang w:val="nb-NO"/>
        </w:rPr>
        <w:t>/time</w:t>
      </w:r>
      <w:r w:rsidR="0081422F" w:rsidRPr="001464D7">
        <w:rPr>
          <w:lang w:val="nb-NO"/>
        </w:rPr>
        <w:t>)</w:t>
      </w:r>
      <w:r w:rsidR="00406D49">
        <w:rPr>
          <w:lang w:val="nb-NO"/>
        </w:rPr>
        <w:t>,</w:t>
      </w:r>
      <w:r w:rsidR="0018736F" w:rsidRPr="001464D7">
        <w:rPr>
          <w:lang w:val="nb-NO"/>
        </w:rPr>
        <w:t xml:space="preserve"> % av </w:t>
      </w:r>
      <w:r w:rsidR="005E7FAB" w:rsidRPr="001464D7">
        <w:rPr>
          <w:lang w:val="nb-NO"/>
        </w:rPr>
        <w:t>total tid</w:t>
      </w:r>
      <w:r w:rsidR="0018736F" w:rsidRPr="001464D7">
        <w:rPr>
          <w:lang w:val="nb-NO"/>
        </w:rPr>
        <w:t xml:space="preserve"> med SPO</w:t>
      </w:r>
      <w:r w:rsidR="0018736F" w:rsidRPr="00406D49">
        <w:rPr>
          <w:vertAlign w:val="subscript"/>
          <w:lang w:val="nb-NO"/>
        </w:rPr>
        <w:t>2</w:t>
      </w:r>
      <w:r w:rsidR="0018736F" w:rsidRPr="001464D7">
        <w:rPr>
          <w:lang w:val="nb-NO"/>
        </w:rPr>
        <w:t xml:space="preserve"> &lt; 90% og visuell bedømmelse av </w:t>
      </w:r>
      <w:r w:rsidR="00602F9A" w:rsidRPr="001464D7">
        <w:rPr>
          <w:lang w:val="nb-NO"/>
        </w:rPr>
        <w:t xml:space="preserve">grafisk fremstilling. </w:t>
      </w:r>
    </w:p>
    <w:p w14:paraId="25E7DAE7" w14:textId="468EC69B" w:rsidR="00D0127A" w:rsidRDefault="00602F9A" w:rsidP="0044469A">
      <w:pPr>
        <w:pStyle w:val="Listeavsnitt"/>
        <w:numPr>
          <w:ilvl w:val="0"/>
          <w:numId w:val="1"/>
        </w:numPr>
        <w:rPr>
          <w:lang w:val="nb-NO"/>
        </w:rPr>
      </w:pPr>
      <w:r w:rsidRPr="00B7110A">
        <w:rPr>
          <w:lang w:val="nb-NO"/>
        </w:rPr>
        <w:t>Transkutan CO</w:t>
      </w:r>
      <w:r w:rsidRPr="00406D49">
        <w:rPr>
          <w:vertAlign w:val="subscript"/>
          <w:lang w:val="nb-NO"/>
        </w:rPr>
        <w:t>2</w:t>
      </w:r>
      <w:r w:rsidR="006103AB" w:rsidRPr="00B7110A">
        <w:rPr>
          <w:lang w:val="nb-NO"/>
        </w:rPr>
        <w:t xml:space="preserve"> bedømmes </w:t>
      </w:r>
      <w:r w:rsidR="001464D7" w:rsidRPr="00B7110A">
        <w:rPr>
          <w:lang w:val="nb-NO"/>
        </w:rPr>
        <w:t>ut fra</w:t>
      </w:r>
      <w:r w:rsidRPr="00B7110A">
        <w:rPr>
          <w:lang w:val="nb-NO"/>
        </w:rPr>
        <w:t xml:space="preserve"> </w:t>
      </w:r>
      <w:r w:rsidR="006103AB" w:rsidRPr="00B7110A">
        <w:rPr>
          <w:lang w:val="nb-NO"/>
        </w:rPr>
        <w:t>% av tid &gt; 6.5 kPa, &gt; 6.7 kPa og &gt; 7.3 kPa</w:t>
      </w:r>
      <w:r w:rsidR="001464D7" w:rsidRPr="00B7110A">
        <w:rPr>
          <w:lang w:val="nb-NO"/>
        </w:rPr>
        <w:t xml:space="preserve">, </w:t>
      </w:r>
      <w:r w:rsidR="006103AB" w:rsidRPr="006103AB">
        <w:rPr>
          <w:lang w:val="nb-NO"/>
        </w:rPr>
        <w:t>PtcCO</w:t>
      </w:r>
      <w:r w:rsidR="006103AB" w:rsidRPr="006103AB">
        <w:rPr>
          <w:vertAlign w:val="subscript"/>
          <w:lang w:val="nb-NO"/>
        </w:rPr>
        <w:t>2</w:t>
      </w:r>
      <w:r w:rsidR="006103AB" w:rsidRPr="006103AB">
        <w:rPr>
          <w:lang w:val="nb-NO"/>
        </w:rPr>
        <w:t xml:space="preserve"> </w:t>
      </w:r>
      <w:proofErr w:type="spellStart"/>
      <w:r w:rsidR="006103AB" w:rsidRPr="006103AB">
        <w:rPr>
          <w:lang w:val="nb-NO"/>
        </w:rPr>
        <w:t>max</w:t>
      </w:r>
      <w:proofErr w:type="spellEnd"/>
      <w:r w:rsidR="001464D7" w:rsidRPr="00B7110A">
        <w:rPr>
          <w:lang w:val="nb-NO"/>
        </w:rPr>
        <w:t xml:space="preserve">., </w:t>
      </w:r>
      <w:r w:rsidR="006103AB" w:rsidRPr="006103AB">
        <w:rPr>
          <w:lang w:val="nb-NO"/>
        </w:rPr>
        <w:t>PtcCO</w:t>
      </w:r>
      <w:r w:rsidR="006103AB" w:rsidRPr="006103AB">
        <w:rPr>
          <w:vertAlign w:val="subscript"/>
          <w:lang w:val="nb-NO"/>
        </w:rPr>
        <w:t>2</w:t>
      </w:r>
      <w:r w:rsidR="006103AB" w:rsidRPr="006103AB">
        <w:rPr>
          <w:lang w:val="nb-NO"/>
        </w:rPr>
        <w:t xml:space="preserve"> ved start av måling</w:t>
      </w:r>
      <w:r w:rsidR="001464D7" w:rsidRPr="00B7110A">
        <w:rPr>
          <w:lang w:val="nb-NO"/>
        </w:rPr>
        <w:t xml:space="preserve"> samt visuell bedømmelse av grafisk fremstilling. </w:t>
      </w:r>
      <w:r w:rsidR="00423E7B" w:rsidRPr="00B7110A">
        <w:rPr>
          <w:lang w:val="nb-NO"/>
        </w:rPr>
        <w:t xml:space="preserve">Vær obs på artefakter og </w:t>
      </w:r>
      <w:r w:rsidR="007E7309" w:rsidRPr="00B7110A">
        <w:rPr>
          <w:lang w:val="nb-NO"/>
        </w:rPr>
        <w:t xml:space="preserve">at metoden har en viss usikkerhet </w:t>
      </w:r>
      <w:r w:rsidR="00423E7B" w:rsidRPr="00B7110A">
        <w:rPr>
          <w:lang w:val="nb-NO"/>
        </w:rPr>
        <w:t xml:space="preserve">og må vurderes </w:t>
      </w:r>
      <w:r w:rsidR="00350F26" w:rsidRPr="00B7110A">
        <w:rPr>
          <w:lang w:val="nb-NO"/>
        </w:rPr>
        <w:t xml:space="preserve">sammenholdt med </w:t>
      </w:r>
      <w:r w:rsidR="00B7110A" w:rsidRPr="00B7110A">
        <w:rPr>
          <w:lang w:val="nb-NO"/>
        </w:rPr>
        <w:t>klinikk</w:t>
      </w:r>
      <w:r w:rsidR="00B7110A">
        <w:rPr>
          <w:lang w:val="nb-NO"/>
        </w:rPr>
        <w:t>.</w:t>
      </w:r>
    </w:p>
    <w:p w14:paraId="10391750" w14:textId="76773FDB" w:rsidR="00FB28CC" w:rsidRPr="00A46ED2" w:rsidRDefault="00FB28CC" w:rsidP="00D41F2B">
      <w:pPr>
        <w:ind w:left="359"/>
        <w:rPr>
          <w:sz w:val="16"/>
          <w:szCs w:val="16"/>
          <w:lang w:val="en-US"/>
        </w:rPr>
      </w:pPr>
      <w:r w:rsidRPr="00A46ED2">
        <w:rPr>
          <w:sz w:val="16"/>
          <w:szCs w:val="16"/>
          <w:lang w:val="en-US"/>
        </w:rPr>
        <w:lastRenderedPageBreak/>
        <w:t>Referanser</w:t>
      </w:r>
    </w:p>
    <w:p w14:paraId="448EA8EC" w14:textId="39E2D06D" w:rsidR="002C1733" w:rsidRPr="00D41F2B" w:rsidRDefault="002C1733" w:rsidP="00D41F2B">
      <w:pPr>
        <w:ind w:left="359"/>
        <w:rPr>
          <w:sz w:val="16"/>
          <w:szCs w:val="16"/>
          <w:lang w:val="nb-NO"/>
        </w:rPr>
      </w:pPr>
      <w:r w:rsidRPr="00D41F2B">
        <w:rPr>
          <w:sz w:val="16"/>
          <w:szCs w:val="16"/>
        </w:rPr>
        <w:t xml:space="preserve">Nocturnal monitoring of home non-invasive ventilation: the contribution of simple tools such as pulse oximetry, capnography, built-in ventilator software and autonomic markers of sleep fragmentation. </w:t>
      </w:r>
      <w:proofErr w:type="spellStart"/>
      <w:proofErr w:type="gramStart"/>
      <w:r w:rsidRPr="00D41F2B">
        <w:rPr>
          <w:sz w:val="16"/>
          <w:szCs w:val="16"/>
        </w:rPr>
        <w:t>Janssens</w:t>
      </w:r>
      <w:proofErr w:type="spellEnd"/>
      <w:r w:rsidRPr="00D41F2B">
        <w:rPr>
          <w:sz w:val="16"/>
          <w:szCs w:val="16"/>
        </w:rPr>
        <w:t xml:space="preserve"> et al</w:t>
      </w:r>
      <w:r w:rsidR="00D41F2B" w:rsidRPr="00D41F2B">
        <w:rPr>
          <w:sz w:val="16"/>
          <w:szCs w:val="16"/>
        </w:rPr>
        <w:t xml:space="preserve">. </w:t>
      </w:r>
      <w:proofErr w:type="spellStart"/>
      <w:r w:rsidRPr="00D41F2B">
        <w:rPr>
          <w:sz w:val="16"/>
          <w:szCs w:val="16"/>
          <w:lang w:val="nb-NO"/>
        </w:rPr>
        <w:t>Thorax</w:t>
      </w:r>
      <w:proofErr w:type="spellEnd"/>
      <w:r w:rsidRPr="00D41F2B">
        <w:rPr>
          <w:sz w:val="16"/>
          <w:szCs w:val="16"/>
          <w:lang w:val="nb-NO"/>
        </w:rPr>
        <w:t xml:space="preserve"> 2010.</w:t>
      </w:r>
      <w:proofErr w:type="gramEnd"/>
    </w:p>
    <w:p w14:paraId="37FDC320" w14:textId="77777777" w:rsidR="00FB28CC" w:rsidRPr="00D41F2B" w:rsidRDefault="00FB28CC" w:rsidP="00D41F2B">
      <w:pPr>
        <w:ind w:left="359"/>
        <w:rPr>
          <w:sz w:val="16"/>
          <w:szCs w:val="16"/>
        </w:rPr>
      </w:pPr>
      <w:proofErr w:type="spellStart"/>
      <w:r w:rsidRPr="00D41F2B">
        <w:rPr>
          <w:sz w:val="16"/>
          <w:szCs w:val="16"/>
        </w:rPr>
        <w:t>Janssens</w:t>
      </w:r>
      <w:proofErr w:type="spellEnd"/>
      <w:r w:rsidRPr="00D41F2B">
        <w:rPr>
          <w:sz w:val="16"/>
          <w:szCs w:val="16"/>
        </w:rPr>
        <w:t xml:space="preserve"> et al in Non-Invasive Ventilation and Weaning, 2nd Edition, 2018  </w:t>
      </w:r>
    </w:p>
    <w:p w14:paraId="55169A46" w14:textId="056BF8FC" w:rsidR="00FD6D17" w:rsidRPr="00D41F2B" w:rsidRDefault="00FD6D17" w:rsidP="00D41F2B">
      <w:pPr>
        <w:ind w:left="359"/>
        <w:rPr>
          <w:sz w:val="16"/>
          <w:szCs w:val="16"/>
          <w:lang w:val="nb-NO"/>
        </w:rPr>
      </w:pPr>
      <w:r w:rsidRPr="00D41F2B">
        <w:rPr>
          <w:sz w:val="16"/>
          <w:szCs w:val="16"/>
          <w:lang w:val="nb-NO"/>
        </w:rPr>
        <w:t>Anbefaling for bruk og tolkning av objektive registreringer ved diagnostikk av søvnsykdommer 2018</w:t>
      </w:r>
      <w:r w:rsidR="00043128" w:rsidRPr="00D41F2B">
        <w:rPr>
          <w:sz w:val="16"/>
          <w:szCs w:val="16"/>
          <w:lang w:val="nb-NO"/>
        </w:rPr>
        <w:t xml:space="preserve"> </w:t>
      </w:r>
      <w:hyperlink r:id="rId9" w:history="1">
        <w:r w:rsidR="00043128" w:rsidRPr="00D41F2B">
          <w:rPr>
            <w:rStyle w:val="Hyperkobling"/>
            <w:sz w:val="16"/>
            <w:szCs w:val="16"/>
            <w:lang w:val="nb-NO"/>
          </w:rPr>
          <w:t>Retningslinjer for søvndiagnostikk og behandling | Norsk Forening for Søvnmedisin (nosm.no)</w:t>
        </w:r>
      </w:hyperlink>
    </w:p>
    <w:p w14:paraId="56B905FF" w14:textId="519B834B" w:rsidR="00FB28CC" w:rsidRPr="00D41F2B" w:rsidRDefault="00A46ED2" w:rsidP="00D41F2B">
      <w:pPr>
        <w:ind w:left="359"/>
        <w:rPr>
          <w:sz w:val="16"/>
          <w:szCs w:val="16"/>
        </w:rPr>
      </w:pPr>
      <w:hyperlink r:id="rId10" w:history="1">
        <w:r w:rsidR="00D16CA1" w:rsidRPr="00D41F2B">
          <w:rPr>
            <w:rStyle w:val="Hyperkobling"/>
            <w:sz w:val="16"/>
            <w:szCs w:val="16"/>
          </w:rPr>
          <w:t>Monitoring long-term nocturnal non-invasive ventilation for chronic hypercapnic respiratory failure: What are the basic tools? (uio.no)</w:t>
        </w:r>
      </w:hyperlink>
      <w:r w:rsidR="00D16CA1" w:rsidRPr="00D41F2B">
        <w:rPr>
          <w:sz w:val="16"/>
          <w:szCs w:val="16"/>
        </w:rPr>
        <w:t xml:space="preserve"> Aarrestad, </w:t>
      </w:r>
      <w:r w:rsidR="00B74856" w:rsidRPr="00D41F2B">
        <w:rPr>
          <w:sz w:val="16"/>
          <w:szCs w:val="16"/>
        </w:rPr>
        <w:t>2020</w:t>
      </w:r>
    </w:p>
    <w:p w14:paraId="75A9C930" w14:textId="77777777" w:rsidR="00D82D59" w:rsidRPr="00D41F2B" w:rsidRDefault="00426A42" w:rsidP="00D41F2B">
      <w:pPr>
        <w:ind w:left="359"/>
        <w:rPr>
          <w:sz w:val="16"/>
          <w:szCs w:val="16"/>
        </w:rPr>
      </w:pPr>
      <w:r w:rsidRPr="00D41F2B">
        <w:rPr>
          <w:sz w:val="16"/>
          <w:szCs w:val="16"/>
        </w:rPr>
        <w:t xml:space="preserve">Monitoring of </w:t>
      </w:r>
      <w:proofErr w:type="spellStart"/>
      <w:r w:rsidRPr="00D41F2B">
        <w:rPr>
          <w:sz w:val="16"/>
          <w:szCs w:val="16"/>
        </w:rPr>
        <w:t>noninvasive</w:t>
      </w:r>
      <w:proofErr w:type="spellEnd"/>
      <w:r w:rsidRPr="00D41F2B">
        <w:rPr>
          <w:sz w:val="16"/>
          <w:szCs w:val="16"/>
        </w:rPr>
        <w:t xml:space="preserve"> ventilation: comparative analysis of different strategies</w:t>
      </w:r>
      <w:r w:rsidR="00D82D59" w:rsidRPr="00D41F2B">
        <w:rPr>
          <w:sz w:val="16"/>
          <w:szCs w:val="16"/>
        </w:rPr>
        <w:t xml:space="preserve"> </w:t>
      </w:r>
      <w:hyperlink r:id="rId11" w:history="1">
        <w:r w:rsidR="00D82D59" w:rsidRPr="00D41F2B">
          <w:rPr>
            <w:rStyle w:val="Hyperkobling"/>
            <w:i/>
            <w:iCs/>
            <w:sz w:val="16"/>
            <w:szCs w:val="16"/>
            <w:lang w:val="en-US"/>
          </w:rPr>
          <w:t>Georges, M et al Respiratory Research</w:t>
        </w:r>
      </w:hyperlink>
      <w:r w:rsidR="00D82D59" w:rsidRPr="00D41F2B">
        <w:rPr>
          <w:sz w:val="16"/>
          <w:szCs w:val="16"/>
          <w:lang w:val="en-US"/>
        </w:rPr>
        <w:t>  (2020)</w:t>
      </w:r>
    </w:p>
    <w:p w14:paraId="265EAFEA" w14:textId="6F3A1583" w:rsidR="00B74856" w:rsidRPr="00D41F2B" w:rsidRDefault="0097437D" w:rsidP="00D41F2B">
      <w:pPr>
        <w:ind w:left="359"/>
        <w:rPr>
          <w:sz w:val="16"/>
          <w:szCs w:val="16"/>
        </w:rPr>
      </w:pPr>
      <w:r w:rsidRPr="00D41F2B">
        <w:rPr>
          <w:sz w:val="16"/>
          <w:szCs w:val="16"/>
        </w:rPr>
        <w:t>Prognostic Value of Initial Assessment of Residual Hypoventilation Using Nocturnal Capnography in Mechanically Ventilated Neuromuscular Patients: A 5-Year Follow-up Study</w:t>
      </w:r>
      <w:r w:rsidR="00CA2D97" w:rsidRPr="00D41F2B">
        <w:rPr>
          <w:sz w:val="16"/>
          <w:szCs w:val="16"/>
        </w:rPr>
        <w:t xml:space="preserve">. </w:t>
      </w:r>
      <w:proofErr w:type="spellStart"/>
      <w:r w:rsidR="00CA2D97" w:rsidRPr="00D41F2B">
        <w:rPr>
          <w:sz w:val="16"/>
          <w:szCs w:val="16"/>
        </w:rPr>
        <w:t>Ogna</w:t>
      </w:r>
      <w:proofErr w:type="spellEnd"/>
      <w:r w:rsidR="00CA2D97" w:rsidRPr="00D41F2B">
        <w:rPr>
          <w:sz w:val="16"/>
          <w:szCs w:val="16"/>
        </w:rPr>
        <w:t xml:space="preserve"> et al Frontiers in Medicine 2016</w:t>
      </w:r>
    </w:p>
    <w:sectPr w:rsidR="00B74856" w:rsidRPr="00D41F2B" w:rsidSect="00EF0CA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AA20C" w14:textId="77777777" w:rsidR="00BC0173" w:rsidRDefault="00BC0173" w:rsidP="00FF5743">
      <w:pPr>
        <w:spacing w:after="0" w:line="240" w:lineRule="auto"/>
      </w:pPr>
      <w:r>
        <w:separator/>
      </w:r>
    </w:p>
  </w:endnote>
  <w:endnote w:type="continuationSeparator" w:id="0">
    <w:p w14:paraId="67E1841C" w14:textId="77777777" w:rsidR="00BC0173" w:rsidRDefault="00BC0173" w:rsidP="00FF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90440" w14:textId="77777777" w:rsidR="00BC0173" w:rsidRDefault="00BC0173" w:rsidP="00FF5743">
      <w:pPr>
        <w:spacing w:after="0" w:line="240" w:lineRule="auto"/>
      </w:pPr>
      <w:r>
        <w:separator/>
      </w:r>
    </w:p>
  </w:footnote>
  <w:footnote w:type="continuationSeparator" w:id="0">
    <w:p w14:paraId="05A60D6E" w14:textId="77777777" w:rsidR="00BC0173" w:rsidRDefault="00BC0173" w:rsidP="00FF5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BA91D" w14:textId="5A5A28A5" w:rsidR="00FF5743" w:rsidRPr="00FF5743" w:rsidRDefault="00FF5743" w:rsidP="00FF5743">
    <w:pPr>
      <w:pStyle w:val="Topptekst"/>
      <w:jc w:val="center"/>
      <w:rPr>
        <w:lang w:val="nb-NO"/>
      </w:rPr>
    </w:pPr>
    <w:proofErr w:type="spellStart"/>
    <w:r w:rsidRPr="00FF5743">
      <w:rPr>
        <w:lang w:val="nb-NO"/>
      </w:rPr>
      <w:t>Monitorering</w:t>
    </w:r>
    <w:proofErr w:type="spellEnd"/>
    <w:r w:rsidRPr="00FF5743">
      <w:rPr>
        <w:lang w:val="nb-NO"/>
      </w:rPr>
      <w:t xml:space="preserve"> av respirasjon ved l</w:t>
    </w:r>
    <w:r>
      <w:rPr>
        <w:lang w:val="nb-NO"/>
      </w:rPr>
      <w:t>angtids NIV</w:t>
    </w:r>
  </w:p>
  <w:p w14:paraId="093EE8B4" w14:textId="77777777" w:rsidR="00FF5743" w:rsidRPr="00FF5743" w:rsidRDefault="00FF5743">
    <w:pPr>
      <w:pStyle w:val="Topptekst"/>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087A"/>
    <w:multiLevelType w:val="hybridMultilevel"/>
    <w:tmpl w:val="BE80CC78"/>
    <w:lvl w:ilvl="0" w:tplc="BCA0E1CC">
      <w:start w:val="1"/>
      <w:numFmt w:val="bullet"/>
      <w:lvlText w:val="•"/>
      <w:lvlJc w:val="left"/>
      <w:pPr>
        <w:tabs>
          <w:tab w:val="num" w:pos="720"/>
        </w:tabs>
        <w:ind w:left="720" w:hanging="360"/>
      </w:pPr>
      <w:rPr>
        <w:rFonts w:ascii="Arial" w:hAnsi="Arial" w:hint="default"/>
      </w:rPr>
    </w:lvl>
    <w:lvl w:ilvl="1" w:tplc="E8965596" w:tentative="1">
      <w:start w:val="1"/>
      <w:numFmt w:val="bullet"/>
      <w:lvlText w:val="•"/>
      <w:lvlJc w:val="left"/>
      <w:pPr>
        <w:tabs>
          <w:tab w:val="num" w:pos="1440"/>
        </w:tabs>
        <w:ind w:left="1440" w:hanging="360"/>
      </w:pPr>
      <w:rPr>
        <w:rFonts w:ascii="Arial" w:hAnsi="Arial" w:hint="default"/>
      </w:rPr>
    </w:lvl>
    <w:lvl w:ilvl="2" w:tplc="DD3CE778" w:tentative="1">
      <w:start w:val="1"/>
      <w:numFmt w:val="bullet"/>
      <w:lvlText w:val="•"/>
      <w:lvlJc w:val="left"/>
      <w:pPr>
        <w:tabs>
          <w:tab w:val="num" w:pos="2160"/>
        </w:tabs>
        <w:ind w:left="2160" w:hanging="360"/>
      </w:pPr>
      <w:rPr>
        <w:rFonts w:ascii="Arial" w:hAnsi="Arial" w:hint="default"/>
      </w:rPr>
    </w:lvl>
    <w:lvl w:ilvl="3" w:tplc="99A6DB62" w:tentative="1">
      <w:start w:val="1"/>
      <w:numFmt w:val="bullet"/>
      <w:lvlText w:val="•"/>
      <w:lvlJc w:val="left"/>
      <w:pPr>
        <w:tabs>
          <w:tab w:val="num" w:pos="2880"/>
        </w:tabs>
        <w:ind w:left="2880" w:hanging="360"/>
      </w:pPr>
      <w:rPr>
        <w:rFonts w:ascii="Arial" w:hAnsi="Arial" w:hint="default"/>
      </w:rPr>
    </w:lvl>
    <w:lvl w:ilvl="4" w:tplc="BEB6D76C" w:tentative="1">
      <w:start w:val="1"/>
      <w:numFmt w:val="bullet"/>
      <w:lvlText w:val="•"/>
      <w:lvlJc w:val="left"/>
      <w:pPr>
        <w:tabs>
          <w:tab w:val="num" w:pos="3600"/>
        </w:tabs>
        <w:ind w:left="3600" w:hanging="360"/>
      </w:pPr>
      <w:rPr>
        <w:rFonts w:ascii="Arial" w:hAnsi="Arial" w:hint="default"/>
      </w:rPr>
    </w:lvl>
    <w:lvl w:ilvl="5" w:tplc="F0F46030" w:tentative="1">
      <w:start w:val="1"/>
      <w:numFmt w:val="bullet"/>
      <w:lvlText w:val="•"/>
      <w:lvlJc w:val="left"/>
      <w:pPr>
        <w:tabs>
          <w:tab w:val="num" w:pos="4320"/>
        </w:tabs>
        <w:ind w:left="4320" w:hanging="360"/>
      </w:pPr>
      <w:rPr>
        <w:rFonts w:ascii="Arial" w:hAnsi="Arial" w:hint="default"/>
      </w:rPr>
    </w:lvl>
    <w:lvl w:ilvl="6" w:tplc="78EED7EE" w:tentative="1">
      <w:start w:val="1"/>
      <w:numFmt w:val="bullet"/>
      <w:lvlText w:val="•"/>
      <w:lvlJc w:val="left"/>
      <w:pPr>
        <w:tabs>
          <w:tab w:val="num" w:pos="5040"/>
        </w:tabs>
        <w:ind w:left="5040" w:hanging="360"/>
      </w:pPr>
      <w:rPr>
        <w:rFonts w:ascii="Arial" w:hAnsi="Arial" w:hint="default"/>
      </w:rPr>
    </w:lvl>
    <w:lvl w:ilvl="7" w:tplc="7FE62022" w:tentative="1">
      <w:start w:val="1"/>
      <w:numFmt w:val="bullet"/>
      <w:lvlText w:val="•"/>
      <w:lvlJc w:val="left"/>
      <w:pPr>
        <w:tabs>
          <w:tab w:val="num" w:pos="5760"/>
        </w:tabs>
        <w:ind w:left="5760" w:hanging="360"/>
      </w:pPr>
      <w:rPr>
        <w:rFonts w:ascii="Arial" w:hAnsi="Arial" w:hint="default"/>
      </w:rPr>
    </w:lvl>
    <w:lvl w:ilvl="8" w:tplc="369C69A6" w:tentative="1">
      <w:start w:val="1"/>
      <w:numFmt w:val="bullet"/>
      <w:lvlText w:val="•"/>
      <w:lvlJc w:val="left"/>
      <w:pPr>
        <w:tabs>
          <w:tab w:val="num" w:pos="6480"/>
        </w:tabs>
        <w:ind w:left="6480" w:hanging="360"/>
      </w:pPr>
      <w:rPr>
        <w:rFonts w:ascii="Arial" w:hAnsi="Arial" w:hint="default"/>
      </w:rPr>
    </w:lvl>
  </w:abstractNum>
  <w:abstractNum w:abstractNumId="1">
    <w:nsid w:val="7708409E"/>
    <w:multiLevelType w:val="hybridMultilevel"/>
    <w:tmpl w:val="73EE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9D"/>
    <w:rsid w:val="00043128"/>
    <w:rsid w:val="00111F28"/>
    <w:rsid w:val="001464D7"/>
    <w:rsid w:val="0018736F"/>
    <w:rsid w:val="001F5839"/>
    <w:rsid w:val="00232FB1"/>
    <w:rsid w:val="002C1733"/>
    <w:rsid w:val="00350F26"/>
    <w:rsid w:val="003A6DD5"/>
    <w:rsid w:val="00406D49"/>
    <w:rsid w:val="00423E7B"/>
    <w:rsid w:val="00426A42"/>
    <w:rsid w:val="00443B0F"/>
    <w:rsid w:val="005040F9"/>
    <w:rsid w:val="00554FDC"/>
    <w:rsid w:val="00557106"/>
    <w:rsid w:val="0055750B"/>
    <w:rsid w:val="005E7FAB"/>
    <w:rsid w:val="00602F9A"/>
    <w:rsid w:val="006103AB"/>
    <w:rsid w:val="006820EE"/>
    <w:rsid w:val="00696685"/>
    <w:rsid w:val="007201AA"/>
    <w:rsid w:val="007455A6"/>
    <w:rsid w:val="00797758"/>
    <w:rsid w:val="007E7309"/>
    <w:rsid w:val="0081422F"/>
    <w:rsid w:val="0082289D"/>
    <w:rsid w:val="008D15C8"/>
    <w:rsid w:val="008D51F2"/>
    <w:rsid w:val="0097437D"/>
    <w:rsid w:val="00A46ED2"/>
    <w:rsid w:val="00A52903"/>
    <w:rsid w:val="00AB5E6F"/>
    <w:rsid w:val="00AC3F29"/>
    <w:rsid w:val="00B40712"/>
    <w:rsid w:val="00B55CD6"/>
    <w:rsid w:val="00B7110A"/>
    <w:rsid w:val="00B74856"/>
    <w:rsid w:val="00B86A48"/>
    <w:rsid w:val="00BA414B"/>
    <w:rsid w:val="00BC0173"/>
    <w:rsid w:val="00BF40F9"/>
    <w:rsid w:val="00C50618"/>
    <w:rsid w:val="00C52312"/>
    <w:rsid w:val="00CA2D97"/>
    <w:rsid w:val="00CE57C6"/>
    <w:rsid w:val="00D0127A"/>
    <w:rsid w:val="00D16CA1"/>
    <w:rsid w:val="00D41F2B"/>
    <w:rsid w:val="00D82D59"/>
    <w:rsid w:val="00D95C82"/>
    <w:rsid w:val="00E42F3C"/>
    <w:rsid w:val="00EF0CA3"/>
    <w:rsid w:val="00F10E19"/>
    <w:rsid w:val="00F86816"/>
    <w:rsid w:val="00FB28CC"/>
    <w:rsid w:val="00FD6D17"/>
    <w:rsid w:val="00FF574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40F9"/>
    <w:pPr>
      <w:ind w:left="720"/>
      <w:contextualSpacing/>
    </w:pPr>
  </w:style>
  <w:style w:type="paragraph" w:styleId="Topptekst">
    <w:name w:val="header"/>
    <w:basedOn w:val="Normal"/>
    <w:link w:val="TopptekstTegn"/>
    <w:uiPriority w:val="99"/>
    <w:unhideWhenUsed/>
    <w:rsid w:val="00FF57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5743"/>
  </w:style>
  <w:style w:type="paragraph" w:styleId="Bunntekst">
    <w:name w:val="footer"/>
    <w:basedOn w:val="Normal"/>
    <w:link w:val="BunntekstTegn"/>
    <w:uiPriority w:val="99"/>
    <w:unhideWhenUsed/>
    <w:rsid w:val="00FF57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5743"/>
  </w:style>
  <w:style w:type="paragraph" w:styleId="NormalWeb">
    <w:name w:val="Normal (Web)"/>
    <w:basedOn w:val="Normal"/>
    <w:uiPriority w:val="99"/>
    <w:semiHidden/>
    <w:unhideWhenUsed/>
    <w:rsid w:val="0061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unhideWhenUsed/>
    <w:rsid w:val="00043128"/>
    <w:rPr>
      <w:color w:val="0000FF"/>
      <w:u w:val="single"/>
    </w:rPr>
  </w:style>
  <w:style w:type="character" w:customStyle="1" w:styleId="UnresolvedMention">
    <w:name w:val="Unresolved Mention"/>
    <w:basedOn w:val="Standardskriftforavsnitt"/>
    <w:uiPriority w:val="99"/>
    <w:semiHidden/>
    <w:unhideWhenUsed/>
    <w:rsid w:val="00D82D59"/>
    <w:rPr>
      <w:color w:val="605E5C"/>
      <w:shd w:val="clear" w:color="auto" w:fill="E1DFDD"/>
    </w:rPr>
  </w:style>
  <w:style w:type="paragraph" w:styleId="Bobletekst">
    <w:name w:val="Balloon Text"/>
    <w:basedOn w:val="Normal"/>
    <w:link w:val="BobletekstTegn"/>
    <w:uiPriority w:val="99"/>
    <w:semiHidden/>
    <w:unhideWhenUsed/>
    <w:rsid w:val="007201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0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40F9"/>
    <w:pPr>
      <w:ind w:left="720"/>
      <w:contextualSpacing/>
    </w:pPr>
  </w:style>
  <w:style w:type="paragraph" w:styleId="Topptekst">
    <w:name w:val="header"/>
    <w:basedOn w:val="Normal"/>
    <w:link w:val="TopptekstTegn"/>
    <w:uiPriority w:val="99"/>
    <w:unhideWhenUsed/>
    <w:rsid w:val="00FF57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5743"/>
  </w:style>
  <w:style w:type="paragraph" w:styleId="Bunntekst">
    <w:name w:val="footer"/>
    <w:basedOn w:val="Normal"/>
    <w:link w:val="BunntekstTegn"/>
    <w:uiPriority w:val="99"/>
    <w:unhideWhenUsed/>
    <w:rsid w:val="00FF57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5743"/>
  </w:style>
  <w:style w:type="paragraph" w:styleId="NormalWeb">
    <w:name w:val="Normal (Web)"/>
    <w:basedOn w:val="Normal"/>
    <w:uiPriority w:val="99"/>
    <w:semiHidden/>
    <w:unhideWhenUsed/>
    <w:rsid w:val="0061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unhideWhenUsed/>
    <w:rsid w:val="00043128"/>
    <w:rPr>
      <w:color w:val="0000FF"/>
      <w:u w:val="single"/>
    </w:rPr>
  </w:style>
  <w:style w:type="character" w:customStyle="1" w:styleId="UnresolvedMention">
    <w:name w:val="Unresolved Mention"/>
    <w:basedOn w:val="Standardskriftforavsnitt"/>
    <w:uiPriority w:val="99"/>
    <w:semiHidden/>
    <w:unhideWhenUsed/>
    <w:rsid w:val="00D82D59"/>
    <w:rPr>
      <w:color w:val="605E5C"/>
      <w:shd w:val="clear" w:color="auto" w:fill="E1DFDD"/>
    </w:rPr>
  </w:style>
  <w:style w:type="paragraph" w:styleId="Bobletekst">
    <w:name w:val="Balloon Text"/>
    <w:basedOn w:val="Normal"/>
    <w:link w:val="BobletekstTegn"/>
    <w:uiPriority w:val="99"/>
    <w:semiHidden/>
    <w:unhideWhenUsed/>
    <w:rsid w:val="007201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0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678">
      <w:bodyDiv w:val="1"/>
      <w:marLeft w:val="0"/>
      <w:marRight w:val="0"/>
      <w:marTop w:val="0"/>
      <w:marBottom w:val="0"/>
      <w:divBdr>
        <w:top w:val="none" w:sz="0" w:space="0" w:color="auto"/>
        <w:left w:val="none" w:sz="0" w:space="0" w:color="auto"/>
        <w:bottom w:val="none" w:sz="0" w:space="0" w:color="auto"/>
        <w:right w:val="none" w:sz="0" w:space="0" w:color="auto"/>
      </w:divBdr>
    </w:div>
    <w:div w:id="393545546">
      <w:bodyDiv w:val="1"/>
      <w:marLeft w:val="0"/>
      <w:marRight w:val="0"/>
      <w:marTop w:val="0"/>
      <w:marBottom w:val="0"/>
      <w:divBdr>
        <w:top w:val="none" w:sz="0" w:space="0" w:color="auto"/>
        <w:left w:val="none" w:sz="0" w:space="0" w:color="auto"/>
        <w:bottom w:val="none" w:sz="0" w:space="0" w:color="auto"/>
        <w:right w:val="none" w:sz="0" w:space="0" w:color="auto"/>
      </w:divBdr>
    </w:div>
    <w:div w:id="556628286">
      <w:bodyDiv w:val="1"/>
      <w:marLeft w:val="0"/>
      <w:marRight w:val="0"/>
      <w:marTop w:val="0"/>
      <w:marBottom w:val="0"/>
      <w:divBdr>
        <w:top w:val="none" w:sz="0" w:space="0" w:color="auto"/>
        <w:left w:val="none" w:sz="0" w:space="0" w:color="auto"/>
        <w:bottom w:val="none" w:sz="0" w:space="0" w:color="auto"/>
        <w:right w:val="none" w:sz="0" w:space="0" w:color="auto"/>
      </w:divBdr>
    </w:div>
    <w:div w:id="1296445668">
      <w:bodyDiv w:val="1"/>
      <w:marLeft w:val="0"/>
      <w:marRight w:val="0"/>
      <w:marTop w:val="0"/>
      <w:marBottom w:val="0"/>
      <w:divBdr>
        <w:top w:val="none" w:sz="0" w:space="0" w:color="auto"/>
        <w:left w:val="none" w:sz="0" w:space="0" w:color="auto"/>
        <w:bottom w:val="none" w:sz="0" w:space="0" w:color="auto"/>
        <w:right w:val="none" w:sz="0" w:space="0" w:color="auto"/>
      </w:divBdr>
    </w:div>
    <w:div w:id="1968927286">
      <w:bodyDiv w:val="1"/>
      <w:marLeft w:val="0"/>
      <w:marRight w:val="0"/>
      <w:marTop w:val="0"/>
      <w:marBottom w:val="0"/>
      <w:divBdr>
        <w:top w:val="none" w:sz="0" w:space="0" w:color="auto"/>
        <w:left w:val="none" w:sz="0" w:space="0" w:color="auto"/>
        <w:bottom w:val="none" w:sz="0" w:space="0" w:color="auto"/>
        <w:right w:val="none" w:sz="0" w:space="0" w:color="auto"/>
      </w:divBdr>
    </w:div>
    <w:div w:id="2141343400">
      <w:bodyDiv w:val="1"/>
      <w:marLeft w:val="0"/>
      <w:marRight w:val="0"/>
      <w:marTop w:val="0"/>
      <w:marBottom w:val="0"/>
      <w:divBdr>
        <w:top w:val="none" w:sz="0" w:space="0" w:color="auto"/>
        <w:left w:val="none" w:sz="0" w:space="0" w:color="auto"/>
        <w:bottom w:val="none" w:sz="0" w:space="0" w:color="auto"/>
        <w:right w:val="none" w:sz="0" w:space="0" w:color="auto"/>
      </w:divBdr>
      <w:divsChild>
        <w:div w:id="1866404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piratory-research.biomedcentral.com/" TargetMode="External"/><Relationship Id="rId5" Type="http://schemas.openxmlformats.org/officeDocument/2006/relationships/webSettings" Target="webSettings.xml"/><Relationship Id="rId10" Type="http://schemas.openxmlformats.org/officeDocument/2006/relationships/hyperlink" Target="https://www.duo.uio.no/handle/10852/74185?locale-attribute=no" TargetMode="External"/><Relationship Id="rId4" Type="http://schemas.openxmlformats.org/officeDocument/2006/relationships/settings" Target="settings.xml"/><Relationship Id="rId9" Type="http://schemas.openxmlformats.org/officeDocument/2006/relationships/hyperlink" Target="https://nosm.no/retningslinjer-for-sovndiagnostik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FB03B1CD</Template>
  <TotalTime>1</TotalTime>
  <Pages>2</Pages>
  <Words>621</Words>
  <Characters>3294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aarrestad</dc:creator>
  <cp:lastModifiedBy>Sigurd Aarrestad</cp:lastModifiedBy>
  <cp:revision>2</cp:revision>
  <dcterms:created xsi:type="dcterms:W3CDTF">2021-12-16T10:49:00Z</dcterms:created>
  <dcterms:modified xsi:type="dcterms:W3CDTF">2021-12-16T10:49:00Z</dcterms:modified>
</cp:coreProperties>
</file>