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C28" w:rsidRPr="009C0C28" w:rsidRDefault="009C0C28" w:rsidP="009C0C28">
      <w:pPr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 </w:t>
      </w:r>
    </w:p>
    <w:p w:rsidR="009C0C28" w:rsidRPr="009C0C28" w:rsidRDefault="009C0C28" w:rsidP="009C0C28">
      <w:pPr>
        <w:spacing w:after="150" w:line="240" w:lineRule="auto"/>
        <w:outlineLvl w:val="1"/>
        <w:rPr>
          <w:rFonts w:ascii="Cambria" w:eastAsia="Times New Roman" w:hAnsi="Cambria" w:cs="Helvetica"/>
          <w:b/>
          <w:bCs/>
          <w:color w:val="003388"/>
          <w:kern w:val="36"/>
          <w:sz w:val="28"/>
          <w:szCs w:val="28"/>
          <w:lang w:eastAsia="nb-NO"/>
        </w:rPr>
      </w:pPr>
      <w:r w:rsidRPr="009C0C28">
        <w:rPr>
          <w:rFonts w:ascii="Cambria" w:eastAsia="Times New Roman" w:hAnsi="Cambria" w:cs="Helvetica"/>
          <w:b/>
          <w:bCs/>
          <w:color w:val="003388"/>
          <w:kern w:val="36"/>
          <w:sz w:val="28"/>
          <w:szCs w:val="28"/>
          <w:lang w:eastAsia="nb-NO"/>
        </w:rPr>
        <w:t>Medikamentell behandling</w:t>
      </w:r>
      <w:r>
        <w:rPr>
          <w:rFonts w:ascii="Cambria" w:eastAsia="Times New Roman" w:hAnsi="Cambria" w:cs="Helvetica"/>
          <w:b/>
          <w:bCs/>
          <w:color w:val="003388"/>
          <w:kern w:val="36"/>
          <w:sz w:val="28"/>
          <w:szCs w:val="28"/>
          <w:lang w:eastAsia="nb-NO"/>
        </w:rPr>
        <w:t xml:space="preserve"> av alkohol abstinens</w:t>
      </w:r>
      <w:bookmarkStart w:id="0" w:name="_GoBack"/>
      <w:bookmarkEnd w:id="0"/>
    </w:p>
    <w:p w:rsidR="009C0C28" w:rsidRPr="009C0C28" w:rsidRDefault="009C0C28" w:rsidP="009C0C28">
      <w:pPr>
        <w:spacing w:before="300" w:after="150" w:line="240" w:lineRule="auto"/>
        <w:outlineLvl w:val="3"/>
        <w:rPr>
          <w:rFonts w:ascii="Cambria" w:eastAsia="Times New Roman" w:hAnsi="Cambria" w:cs="Helvetica"/>
          <w:b/>
          <w:bCs/>
          <w:color w:val="003388"/>
          <w:sz w:val="24"/>
          <w:szCs w:val="24"/>
          <w:lang w:eastAsia="nb-NO"/>
        </w:rPr>
      </w:pPr>
      <w:r w:rsidRPr="009C0C28">
        <w:rPr>
          <w:rFonts w:ascii="Cambria" w:eastAsia="Times New Roman" w:hAnsi="Cambria" w:cs="Helvetica"/>
          <w:b/>
          <w:bCs/>
          <w:color w:val="003388"/>
          <w:sz w:val="24"/>
          <w:szCs w:val="24"/>
          <w:lang w:eastAsia="nb-NO"/>
        </w:rPr>
        <w:t xml:space="preserve">Profylakse mot </w:t>
      </w:r>
      <w:proofErr w:type="spellStart"/>
      <w:r w:rsidRPr="009C0C28">
        <w:rPr>
          <w:rFonts w:ascii="Cambria" w:eastAsia="Times New Roman" w:hAnsi="Cambria" w:cs="Helvetica"/>
          <w:b/>
          <w:bCs/>
          <w:color w:val="003388"/>
          <w:sz w:val="24"/>
          <w:szCs w:val="24"/>
          <w:lang w:eastAsia="nb-NO"/>
        </w:rPr>
        <w:t>Wernickes</w:t>
      </w:r>
      <w:proofErr w:type="spellEnd"/>
      <w:r w:rsidRPr="009C0C28">
        <w:rPr>
          <w:rFonts w:ascii="Cambria" w:eastAsia="Times New Roman" w:hAnsi="Cambria" w:cs="Helvetica"/>
          <w:b/>
          <w:bCs/>
          <w:color w:val="003388"/>
          <w:sz w:val="24"/>
          <w:szCs w:val="24"/>
          <w:lang w:eastAsia="nb-NO"/>
        </w:rPr>
        <w:t xml:space="preserve"> ved mulig høyt alkoholinntak</w:t>
      </w:r>
    </w:p>
    <w:p w:rsidR="009C0C28" w:rsidRPr="009C0C28" w:rsidRDefault="009C0C28" w:rsidP="009C0C28">
      <w:pPr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Pasienter med høyt alkoholforbruk er i risiko for vitamin B1 mangel, tiamin. Det bør være lav terskel for å igangsette forebygging av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Wernickes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encefalopati.</w:t>
      </w:r>
    </w:p>
    <w:p w:rsidR="009C0C28" w:rsidRPr="009C0C28" w:rsidRDefault="009C0C28" w:rsidP="009C0C28">
      <w:pPr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Pasientene bør gis tiamin 200mg intramuskulært eller intravenøst x 1 i 3-5 dager.  Vurdere eventuelt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multivitamintilskudd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i tillegg (4). I prosedyren er det praktisk med tiamin 200-300mg intramuskulært eller intravenøst.</w:t>
      </w:r>
    </w:p>
    <w:p w:rsidR="009C0C28" w:rsidRPr="009C0C28" w:rsidRDefault="009C0C28" w:rsidP="009C0C28">
      <w:pPr>
        <w:spacing w:before="300" w:after="150" w:line="240" w:lineRule="auto"/>
        <w:outlineLvl w:val="3"/>
        <w:rPr>
          <w:rFonts w:ascii="Cambria" w:eastAsia="Times New Roman" w:hAnsi="Cambria" w:cs="Helvetica"/>
          <w:b/>
          <w:bCs/>
          <w:color w:val="003388"/>
          <w:sz w:val="24"/>
          <w:szCs w:val="24"/>
          <w:lang w:eastAsia="nb-NO"/>
        </w:rPr>
      </w:pPr>
      <w:r w:rsidRPr="009C0C28">
        <w:rPr>
          <w:rFonts w:ascii="Cambria" w:eastAsia="Times New Roman" w:hAnsi="Cambria" w:cs="Helvetica"/>
          <w:b/>
          <w:bCs/>
          <w:color w:val="003388"/>
          <w:sz w:val="24"/>
          <w:szCs w:val="24"/>
          <w:lang w:eastAsia="nb-NO"/>
        </w:rPr>
        <w:t xml:space="preserve">Profylakse mot kramper. </w:t>
      </w:r>
    </w:p>
    <w:p w:rsidR="009C0C28" w:rsidRPr="009C0C28" w:rsidRDefault="009C0C28" w:rsidP="009C0C28">
      <w:pPr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Pasienter som tidligere har hatt kramper må vurderes for krampeprofylakse. Da kan anvendes i henhold til Nasjonal retningslinje (4)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karbamazepin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(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Tegretol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) eller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valproat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(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Orfiril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).</w:t>
      </w:r>
    </w:p>
    <w:p w:rsidR="009C0C28" w:rsidRPr="009C0C28" w:rsidRDefault="009C0C28" w:rsidP="009C0C28">
      <w:pPr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Karbamazepin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(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Tegretol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) 400 mg mix + 200mg x 2 nedtrapping fra dag 5</w:t>
      </w:r>
    </w:p>
    <w:p w:rsidR="009C0C28" w:rsidRPr="009C0C28" w:rsidRDefault="009C0C28" w:rsidP="009C0C28">
      <w:pPr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Valproat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(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Orfiril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) 600mg x 2 min 5 dager</w:t>
      </w:r>
    </w:p>
    <w:p w:rsidR="009C0C28" w:rsidRPr="009C0C28" w:rsidRDefault="009C0C28" w:rsidP="009C0C28">
      <w:pPr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Dersom pasienten allerede viser abstinenssymptomer vil oppstart av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diazepambehandling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også ha krampeforebyggende effekt (29).</w:t>
      </w:r>
    </w:p>
    <w:p w:rsidR="009C0C28" w:rsidRPr="009C0C28" w:rsidRDefault="009C0C28" w:rsidP="009C0C28">
      <w:pPr>
        <w:spacing w:before="300" w:after="150" w:line="240" w:lineRule="auto"/>
        <w:outlineLvl w:val="3"/>
        <w:rPr>
          <w:rFonts w:ascii="Cambria" w:eastAsia="Times New Roman" w:hAnsi="Cambria" w:cs="Helvetica"/>
          <w:b/>
          <w:bCs/>
          <w:color w:val="003388"/>
          <w:sz w:val="24"/>
          <w:szCs w:val="24"/>
          <w:lang w:eastAsia="nb-NO"/>
        </w:rPr>
      </w:pPr>
      <w:r w:rsidRPr="009C0C28">
        <w:rPr>
          <w:rFonts w:ascii="Cambria" w:eastAsia="Times New Roman" w:hAnsi="Cambria" w:cs="Helvetica"/>
          <w:b/>
          <w:bCs/>
          <w:color w:val="003388"/>
          <w:sz w:val="24"/>
          <w:szCs w:val="24"/>
          <w:lang w:eastAsia="nb-NO"/>
        </w:rPr>
        <w:t>Medikamentell behandling av alkoholabstinens symptomer:</w:t>
      </w:r>
    </w:p>
    <w:p w:rsidR="009C0C28" w:rsidRPr="009C0C28" w:rsidRDefault="009C0C28" w:rsidP="009C0C28">
      <w:pPr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Når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komorbiditet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er utelukket og/eller behandlet adekvat, vil abstinensbehandlingen rette seg mot behandling av symptomer. Det er viktig å utelukke og behandle metabolske forstyrrelser og utelukke andre årsaker til generell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delir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(32). Bemerk at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delir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forekommer hyppigere ved flere somatiske tilstander slik som: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pneumonier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, cancer, hos eldre, etter operasjoner og etter respiratorbehandling (2).</w:t>
      </w:r>
    </w:p>
    <w:p w:rsidR="009C0C28" w:rsidRPr="009C0C28" w:rsidRDefault="009C0C28" w:rsidP="009C0C28">
      <w:pPr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Det er flere tilnærminger til behandling av alkoholabstinenssymptomer. I Tyske tradisjoner brukes en del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clometiazol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(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Heminevrin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). I Frankrike er det utprøvende behandling med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baclofen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(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Baclofen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,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Lioresal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). Det er gjort betydelige kunnskapsoppsummeringer på medikamentelle tilnærminger (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Cochrane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). Den foretrukne tilnærming med mest omfattende dokumentasjon er bruk av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benzodiazepiner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(BZ) (29,33). Andre regimer med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antiepileptika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, alfa-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agonister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for eksempel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clonidin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osv. kan være adekvate tiltak for å redusere mengde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benzodiazepiner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der det er hensiktsmessig (29). Det oppstår vanligvis en krysstoleranse mellom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benzodiazepiner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og Alkohol.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Benzodiazepin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-doseringer ved alkoholabstinenssymptomer er derfor vanligvis høye.</w:t>
      </w:r>
    </w:p>
    <w:p w:rsidR="009C0C28" w:rsidRPr="009C0C28" w:rsidRDefault="009C0C28" w:rsidP="009C0C28">
      <w:pPr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Symptomstyrt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behandling etter CIWA-ar observasjon er det mest brukte i de fleste internasjonale guidelines (3,4,5).</w:t>
      </w:r>
    </w:p>
    <w:p w:rsidR="009C0C28" w:rsidRPr="009C0C28" w:rsidRDefault="009C0C28" w:rsidP="009C0C28">
      <w:pPr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lastRenderedPageBreak/>
        <w:t xml:space="preserve">Medikamentelle tiltak startes med CIWA &gt; 8 og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diazepam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er vanligvis anbefalt.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UpToDate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med flere bruker 8 som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cut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off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, men Nasjonal retningslinje IS2211 bruker skåre på 10.</w:t>
      </w:r>
    </w:p>
    <w:p w:rsidR="009C0C28" w:rsidRPr="009C0C28" w:rsidRDefault="009C0C28" w:rsidP="009C0C28">
      <w:pPr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Vi har i vår tabell valgt å forholde oss til internasjonal standard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cut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off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på CIWA score 8.</w:t>
      </w:r>
    </w:p>
    <w:p w:rsidR="009C0C28" w:rsidRPr="009C0C28" w:rsidRDefault="009C0C28" w:rsidP="009C0C28">
      <w:pPr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 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Oksazepam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eller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lorazepam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kan erstatte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diazepam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, spesielt hos eldre og pasienter med leversvikt, da disse gruppene kan få akkumulering av metabolitter med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diazepam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.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Oxazepam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eller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lorazepam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er korttidsvirkende og krever tettere oppfølging med gjentatte observasjoner og hyppigere doseringer etter behov.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Oksazepam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er sikkert og effektivt i behandling av AWS (34).</w:t>
      </w:r>
    </w:p>
    <w:p w:rsidR="009C0C28" w:rsidRPr="009C0C28" w:rsidRDefault="009C0C28" w:rsidP="009C0C28">
      <w:pPr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Nasjonal retningslinje (4) gir følgende anbefaling.</w:t>
      </w:r>
    </w:p>
    <w:p w:rsidR="009C0C28" w:rsidRPr="009C0C28" w:rsidRDefault="009C0C28" w:rsidP="009C0C28">
      <w:pPr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CIWA-Ar styrt behandling ved alkoholavrusning (se også tabell).</w:t>
      </w:r>
    </w:p>
    <w:p w:rsidR="009C0C28" w:rsidRPr="009C0C28" w:rsidRDefault="009C0C28" w:rsidP="009C0C28">
      <w:pPr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CIWA &lt; 10 Pasienter med CIWA skåre under 10, behandles pasienten vanligvis uten legemidler,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evt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valproinsyre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ved tidligere abstinenssymptomer. Pasienten bør observeres hver 4. time.</w:t>
      </w:r>
    </w:p>
    <w:p w:rsidR="009C0C28" w:rsidRPr="009C0C28" w:rsidRDefault="009C0C28" w:rsidP="009C0C28">
      <w:pPr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CIWA 10-15: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Diazepam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per os. 10mg x 4, observasjon hver 1-2 timer.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Diazepam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sep. når CIWA er &lt;10.</w:t>
      </w:r>
    </w:p>
    <w:p w:rsidR="009C0C28" w:rsidRPr="009C0C28" w:rsidRDefault="009C0C28" w:rsidP="009C0C28">
      <w:pPr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CIWA &gt; 15: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Diazepam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10mg per os hver time inntil CIWA er &lt; 10. deretter 10mg x 4 i 1-2 dager</w:t>
      </w:r>
    </w:p>
    <w:p w:rsidR="009C0C28" w:rsidRPr="009C0C28" w:rsidRDefault="009C0C28" w:rsidP="009C0C28">
      <w:pPr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Ved manglende effekt av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diazepam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er det forskjellige tilnærminger.  Nasjonal retningslinje (4) anbefaler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olanzapin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i opptrappende dose (maks 30 mg) ved manglende effekt av 50 mg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diazepam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. Det er ikke angitt referanse.  Internasjonale guidelines opererer med vesentlig høyere doser på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diazepam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,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evt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med tillegg av antipsykotika i mindre doser. Det er i en rekke artikler angitt kumulative doser på 200 mg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diazepam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innenfor korte tidsintervaller (35). Erfaringsmessig er det enkelte pasienter som har økende effekt (titrering) på opptil 120mg. Det er ikke funnet dokumentasjon på maks dose her.</w:t>
      </w:r>
    </w:p>
    <w:p w:rsidR="009C0C28" w:rsidRPr="009C0C28" w:rsidRDefault="009C0C28" w:rsidP="009C0C28">
      <w:pPr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Svenske retningslinjer fraråder antipsykotika (36) på grunn av risiko for økt dødelighet.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Haloperidol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har lenge vært det anbefalte antipsykotika, men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olanzapin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er stadig mer brukt pga. mindre bivirkninger uten at det er god dokumentasjon av effekt.</w:t>
      </w:r>
    </w:p>
    <w:p w:rsidR="009C0C28" w:rsidRPr="009C0C28" w:rsidRDefault="009C0C28" w:rsidP="009C0C28">
      <w:pPr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På grunnlag av referanser, har gruppen laget følgende tabell (vedlagt i flytskjema):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"/>
        <w:gridCol w:w="2189"/>
        <w:gridCol w:w="2867"/>
        <w:gridCol w:w="2507"/>
      </w:tblGrid>
      <w:tr w:rsidR="009C0C28" w:rsidRPr="009C0C28" w:rsidTr="009C0C28">
        <w:trPr>
          <w:trHeight w:val="675"/>
          <w:hidden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9C0C28">
              <w:rPr>
                <w:rFonts w:ascii="Calibri" w:eastAsia="Times New Roman" w:hAnsi="Calibri" w:cs="Calibri"/>
                <w:vanish/>
                <w:color w:val="333333"/>
                <w:sz w:val="24"/>
                <w:szCs w:val="24"/>
                <w:lang w:eastAsia="nb-NO"/>
              </w:rPr>
              <w:t> </w:t>
            </w:r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9C0C2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nb-NO"/>
              </w:rPr>
              <w:t>CIWA &lt; 8</w:t>
            </w:r>
            <w:r w:rsidRPr="009C0C28">
              <w:rPr>
                <w:rFonts w:ascii="Calibri" w:eastAsia="Times New Roman" w:hAnsi="Calibri" w:cs="Calibri"/>
                <w:b/>
                <w:bCs/>
                <w:vanish/>
                <w:color w:val="333333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9C0C2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nb-NO"/>
              </w:rPr>
              <w:t>CIWA 8-15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9C0C2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nb-NO"/>
              </w:rPr>
              <w:t>CIWA &gt; 15</w:t>
            </w:r>
            <w:r w:rsidRPr="009C0C28">
              <w:rPr>
                <w:rFonts w:ascii="Calibri" w:eastAsia="Times New Roman" w:hAnsi="Calibri" w:cs="Calibri"/>
                <w:vanish/>
                <w:color w:val="333333"/>
                <w:sz w:val="24"/>
                <w:szCs w:val="24"/>
                <w:lang w:eastAsia="nb-NO"/>
              </w:rPr>
              <w:t> </w:t>
            </w:r>
          </w:p>
        </w:tc>
      </w:tr>
      <w:tr w:rsidR="009C0C28" w:rsidRPr="009C0C28" w:rsidTr="009C0C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Ingen </w:t>
            </w: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tilleggsrisiko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Ingen legemidler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 w:eastAsia="nb-NO"/>
              </w:rPr>
            </w:pPr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 w:eastAsia="nb-NO"/>
              </w:rPr>
              <w:t xml:space="preserve">Diazepam </w:t>
            </w: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 w:eastAsia="nb-NO"/>
              </w:rPr>
              <w:t>p.o.</w:t>
            </w:r>
            <w:proofErr w:type="spellEnd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 w:eastAsia="nb-NO"/>
              </w:rPr>
              <w:t xml:space="preserve"> 10 mg x 4</w:t>
            </w:r>
          </w:p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Observasjon 1-2 timer</w:t>
            </w:r>
          </w:p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Sep. når CIWA &lt; 8</w:t>
            </w:r>
          </w:p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Alternativt:</w:t>
            </w:r>
          </w:p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Oxazepam</w:t>
            </w:r>
            <w:proofErr w:type="spellEnd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20 mg x 4</w:t>
            </w:r>
          </w:p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lastRenderedPageBreak/>
              <w:t>Observasjon 1-2 timer fortsatt observasjon etter symptombedring.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lastRenderedPageBreak/>
              <w:t>Diazepam</w:t>
            </w:r>
            <w:proofErr w:type="spellEnd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10 mg hver time inntil CIWA &lt; 10 eller søvn</w:t>
            </w:r>
          </w:p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Ved manglende respons på 120 mg, overfør til ICU</w:t>
            </w:r>
          </w:p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lastRenderedPageBreak/>
              <w:t xml:space="preserve">Vurdere evt. </w:t>
            </w: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Propofol</w:t>
            </w:r>
            <w:proofErr w:type="spellEnd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eller </w:t>
            </w: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Dexmedetomidine</w:t>
            </w:r>
            <w:proofErr w:type="spellEnd"/>
          </w:p>
        </w:tc>
      </w:tr>
      <w:tr w:rsidR="009C0C28" w:rsidRPr="009C0C28" w:rsidTr="009C0C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lastRenderedPageBreak/>
              <w:t>Tidligere kramper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Karbamazepin</w:t>
            </w:r>
            <w:proofErr w:type="spellEnd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400 mg mix + 200 mg x 2 nedtrapping fra dag 5 eller</w:t>
            </w:r>
          </w:p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Valproat600 mg x 2 min 5 dager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 </w:t>
            </w: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Evt</w:t>
            </w:r>
            <w:proofErr w:type="spellEnd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krampeprofylakse +</w:t>
            </w: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Diazepam</w:t>
            </w:r>
            <w:proofErr w:type="spellEnd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eller bare </w:t>
            </w: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Diazepam</w:t>
            </w:r>
            <w:proofErr w:type="spellEnd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som over eller </w:t>
            </w: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altarnativ</w:t>
            </w:r>
            <w:proofErr w:type="spellEnd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Oxazepam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Evt</w:t>
            </w:r>
            <w:proofErr w:type="spellEnd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krampeprofylakse +</w:t>
            </w: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Diazepam</w:t>
            </w:r>
            <w:proofErr w:type="spellEnd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eller bare </w:t>
            </w: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Diazepam</w:t>
            </w:r>
            <w:proofErr w:type="spellEnd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som over</w:t>
            </w:r>
          </w:p>
        </w:tc>
      </w:tr>
      <w:tr w:rsidR="009C0C28" w:rsidRPr="009C0C28" w:rsidTr="009C0C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Tidligere AWS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Valproat</w:t>
            </w:r>
            <w:proofErr w:type="spellEnd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600 mg x 2 min 5 dager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Evt</w:t>
            </w:r>
            <w:proofErr w:type="spellEnd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krampeprofylakse +</w:t>
            </w: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Diazepam</w:t>
            </w:r>
            <w:proofErr w:type="spellEnd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eller bare </w:t>
            </w: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Diazepam</w:t>
            </w:r>
            <w:proofErr w:type="spellEnd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som over eller </w:t>
            </w: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altarnativ</w:t>
            </w:r>
            <w:proofErr w:type="spellEnd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Oxazepam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Evt</w:t>
            </w:r>
            <w:proofErr w:type="spellEnd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krampeprofylakse +</w:t>
            </w: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Diazepam</w:t>
            </w:r>
            <w:proofErr w:type="spellEnd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eller bare </w:t>
            </w: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Diazepam</w:t>
            </w:r>
            <w:proofErr w:type="spellEnd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som over</w:t>
            </w:r>
          </w:p>
        </w:tc>
      </w:tr>
      <w:tr w:rsidR="009C0C28" w:rsidRPr="009C0C28" w:rsidTr="009C0C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Høy risiko (4 pos i samtale)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 w:eastAsia="nb-NO"/>
              </w:rPr>
            </w:pPr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 w:eastAsia="nb-NO"/>
              </w:rPr>
              <w:t xml:space="preserve">Diazepam </w:t>
            </w: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 w:eastAsia="nb-NO"/>
              </w:rPr>
              <w:t>p.o.</w:t>
            </w:r>
            <w:proofErr w:type="spellEnd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 w:eastAsia="nb-NO"/>
              </w:rPr>
              <w:t xml:space="preserve"> 10 mg x 4</w:t>
            </w:r>
          </w:p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Alternativt:</w:t>
            </w:r>
          </w:p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Oxazepam</w:t>
            </w:r>
            <w:proofErr w:type="spellEnd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20 mg x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Diazepam</w:t>
            </w:r>
            <w:proofErr w:type="spellEnd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10 mg hver time inntil CIWA &lt; 8 eller søvn</w:t>
            </w:r>
          </w:p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Ved manglende respons på 120 mg, overfør til ICU</w:t>
            </w:r>
          </w:p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Vurdere evt. </w:t>
            </w: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Propofol</w:t>
            </w:r>
            <w:proofErr w:type="spellEnd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eller </w:t>
            </w: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Dexmedetomidine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Diazepam</w:t>
            </w:r>
            <w:proofErr w:type="spellEnd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10 mg hver time inntil CIWA &lt; 10 eller søvn</w:t>
            </w:r>
          </w:p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Ved manglende respons på 120 mg, overfør til ICU</w:t>
            </w:r>
          </w:p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Vurdere evt. </w:t>
            </w: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Propofol</w:t>
            </w:r>
            <w:proofErr w:type="spellEnd"/>
          </w:p>
          <w:p w:rsidR="009C0C28" w:rsidRPr="009C0C28" w:rsidRDefault="009C0C28" w:rsidP="009C0C2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eller </w:t>
            </w:r>
            <w:proofErr w:type="spellStart"/>
            <w:r w:rsidRPr="009C0C2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Dexmedetomidine</w:t>
            </w:r>
            <w:proofErr w:type="spellEnd"/>
          </w:p>
        </w:tc>
      </w:tr>
    </w:tbl>
    <w:p w:rsidR="009C0C28" w:rsidRPr="009C0C28" w:rsidRDefault="009C0C28" w:rsidP="009C0C28">
      <w:pPr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Noen pasienter responderer i mindre grad på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benzodiazepiner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, Hack (35) kaller dette RAW: resistent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alcohol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withdrawal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. Det dreier seg om en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subgruppe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(anslagsvis 10 %) som responderer i mindre grad på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benzodiazepiner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(35) og har en artikkel på et lite materiale med RAW og foreslår annen tilleggsbehandling ved ICU når pasient ikke har normalisert vitale parametere etter 3 timer med kumulativ dose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benzodiazepiner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på 200 mg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diazepam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. Her er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propofol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-behandling anbefalt selv om enkelte studier viser til at slik behandling forlenger liggetiden og tiden på respirator (36). Andre anbefaler </w:t>
      </w:r>
      <w:proofErr w:type="spellStart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dexmedetomidine</w:t>
      </w:r>
      <w:proofErr w:type="spellEnd"/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som tilleggsbehandling (37).</w:t>
      </w:r>
    </w:p>
    <w:p w:rsidR="009C0C28" w:rsidRPr="009C0C28" w:rsidRDefault="009C0C28" w:rsidP="009C0C28">
      <w:pPr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9C0C2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 </w:t>
      </w:r>
    </w:p>
    <w:p w:rsidR="003D5897" w:rsidRDefault="003D5897"/>
    <w:sectPr w:rsidR="003D5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28"/>
    <w:rsid w:val="003D5897"/>
    <w:rsid w:val="009C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2EF2"/>
  <w15:chartTrackingRefBased/>
  <w15:docId w15:val="{C07ACEBB-470F-4881-B993-C42FDCB6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9C0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5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5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66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49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83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76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0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Tore Strøm</dc:creator>
  <cp:keywords/>
  <dc:description/>
  <cp:lastModifiedBy>Rune Tore Strøm</cp:lastModifiedBy>
  <cp:revision>1</cp:revision>
  <dcterms:created xsi:type="dcterms:W3CDTF">2021-09-08T09:08:00Z</dcterms:created>
  <dcterms:modified xsi:type="dcterms:W3CDTF">2021-09-08T09:10:00Z</dcterms:modified>
</cp:coreProperties>
</file>