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D82" w:rsidRDefault="00BF7D82">
      <w:pPr>
        <w:rPr>
          <w:rFonts w:ascii="Arial" w:hAnsi="Arial" w:cs="Arial"/>
          <w:b/>
          <w:bCs/>
          <w:sz w:val="28"/>
          <w:szCs w:val="28"/>
        </w:rPr>
      </w:pPr>
      <w:r>
        <w:rPr>
          <w:rFonts w:ascii="Arial" w:hAnsi="Arial" w:cs="Arial"/>
          <w:b/>
          <w:bCs/>
          <w:sz w:val="28"/>
          <w:szCs w:val="28"/>
        </w:rPr>
        <w:t>LEGEMIDDELDOSERING HOS OVERVEKTIGE PASIENTER</w:t>
      </w:r>
      <w:r w:rsidR="00932364">
        <w:rPr>
          <w:rFonts w:ascii="Arial" w:hAnsi="Arial" w:cs="Arial"/>
          <w:b/>
          <w:bCs/>
          <w:sz w:val="28"/>
          <w:szCs w:val="28"/>
        </w:rPr>
        <w:t>;</w:t>
      </w:r>
      <w:r>
        <w:rPr>
          <w:rFonts w:ascii="Arial" w:hAnsi="Arial" w:cs="Arial"/>
          <w:b/>
          <w:bCs/>
          <w:sz w:val="28"/>
          <w:szCs w:val="28"/>
        </w:rPr>
        <w:t xml:space="preserve"> </w:t>
      </w:r>
      <w:r w:rsidR="00932364">
        <w:rPr>
          <w:rFonts w:ascii="Arial" w:hAnsi="Arial" w:cs="Arial"/>
          <w:b/>
          <w:bCs/>
          <w:sz w:val="28"/>
          <w:szCs w:val="28"/>
        </w:rPr>
        <w:t xml:space="preserve"> ANALGETIKA og SEDATIVA</w:t>
      </w:r>
    </w:p>
    <w:p w:rsidR="00BF7D82" w:rsidRDefault="00BF7D82">
      <w:pPr>
        <w:shd w:val="clear" w:color="auto" w:fill="FFFFFF"/>
        <w:spacing w:after="150" w:line="270" w:lineRule="atLeast"/>
        <w:rPr>
          <w:rFonts w:ascii="Arial" w:hAnsi="Arial" w:cs="Arial"/>
          <w:b/>
          <w:bCs/>
          <w:color w:val="000000"/>
          <w:sz w:val="20"/>
          <w:szCs w:val="20"/>
          <w:lang w:eastAsia="nb-NO"/>
        </w:rPr>
      </w:pPr>
      <w:r>
        <w:rPr>
          <w:rFonts w:ascii="Arial" w:hAnsi="Arial" w:cs="Arial"/>
          <w:b/>
          <w:bCs/>
          <w:color w:val="000000"/>
          <w:sz w:val="20"/>
          <w:szCs w:val="20"/>
          <w:lang w:eastAsia="nb-NO"/>
        </w:rPr>
        <w:t>Analgetika og sedativa</w:t>
      </w:r>
    </w:p>
    <w:p w:rsidR="00BF7D82" w:rsidRDefault="00BF7D82">
      <w:pPr>
        <w:shd w:val="clear" w:color="auto" w:fill="FFFFFF"/>
        <w:spacing w:after="150" w:line="270" w:lineRule="atLeast"/>
        <w:rPr>
          <w:rFonts w:ascii="Arial" w:hAnsi="Arial" w:cs="Arial"/>
          <w:sz w:val="20"/>
          <w:szCs w:val="20"/>
          <w:lang w:eastAsia="nb-NO"/>
        </w:rPr>
      </w:pPr>
      <w:r>
        <w:rPr>
          <w:rFonts w:ascii="Arial" w:hAnsi="Arial" w:cs="Arial"/>
          <w:sz w:val="20"/>
          <w:szCs w:val="20"/>
          <w:lang w:eastAsia="nb-NO"/>
        </w:rPr>
        <w:t xml:space="preserve">Overvektige pasienter har en økning i distribusjonsvolum for fettløselige legemidler, en noe økt </w:t>
      </w:r>
      <w:proofErr w:type="spellStart"/>
      <w:r>
        <w:rPr>
          <w:rFonts w:ascii="Arial" w:hAnsi="Arial" w:cs="Arial"/>
          <w:sz w:val="20"/>
          <w:szCs w:val="20"/>
          <w:lang w:eastAsia="nb-NO"/>
        </w:rPr>
        <w:t>clearance</w:t>
      </w:r>
      <w:proofErr w:type="spellEnd"/>
      <w:r>
        <w:rPr>
          <w:rFonts w:ascii="Arial" w:hAnsi="Arial" w:cs="Arial"/>
          <w:sz w:val="20"/>
          <w:szCs w:val="20"/>
          <w:lang w:eastAsia="nb-NO"/>
        </w:rPr>
        <w:t xml:space="preserve"> for vannløselige legemidler og mindre </w:t>
      </w:r>
      <w:proofErr w:type="spellStart"/>
      <w:r>
        <w:rPr>
          <w:rFonts w:ascii="Arial" w:hAnsi="Arial" w:cs="Arial"/>
          <w:sz w:val="20"/>
          <w:szCs w:val="20"/>
          <w:lang w:eastAsia="nb-NO"/>
        </w:rPr>
        <w:t>lean</w:t>
      </w:r>
      <w:proofErr w:type="spellEnd"/>
      <w:r>
        <w:rPr>
          <w:rFonts w:ascii="Arial" w:hAnsi="Arial" w:cs="Arial"/>
          <w:sz w:val="20"/>
          <w:szCs w:val="20"/>
          <w:lang w:eastAsia="nb-NO"/>
        </w:rPr>
        <w:t xml:space="preserve"> body </w:t>
      </w:r>
      <w:proofErr w:type="spellStart"/>
      <w:r>
        <w:rPr>
          <w:rFonts w:ascii="Arial" w:hAnsi="Arial" w:cs="Arial"/>
          <w:sz w:val="20"/>
          <w:szCs w:val="20"/>
          <w:lang w:eastAsia="nb-NO"/>
        </w:rPr>
        <w:t>mass</w:t>
      </w:r>
      <w:proofErr w:type="spellEnd"/>
      <w:r>
        <w:rPr>
          <w:rFonts w:ascii="Arial" w:hAnsi="Arial" w:cs="Arial"/>
          <w:sz w:val="20"/>
          <w:szCs w:val="20"/>
          <w:lang w:eastAsia="nb-NO"/>
        </w:rPr>
        <w:t xml:space="preserve"> og vevsvæske sammenlignet med ikke overvektige pasienter. Legemiddel metabolismen via CYP3A4 er litt lavere, mens </w:t>
      </w:r>
      <w:proofErr w:type="spellStart"/>
      <w:r>
        <w:rPr>
          <w:rFonts w:ascii="Arial" w:hAnsi="Arial" w:cs="Arial"/>
          <w:sz w:val="20"/>
          <w:szCs w:val="20"/>
          <w:lang w:eastAsia="nb-NO"/>
        </w:rPr>
        <w:t>clearance</w:t>
      </w:r>
      <w:proofErr w:type="spellEnd"/>
      <w:r>
        <w:rPr>
          <w:rFonts w:ascii="Arial" w:hAnsi="Arial" w:cs="Arial"/>
          <w:sz w:val="20"/>
          <w:szCs w:val="20"/>
          <w:lang w:eastAsia="nb-NO"/>
        </w:rPr>
        <w:t xml:space="preserve"> via </w:t>
      </w:r>
      <w:proofErr w:type="spellStart"/>
      <w:r>
        <w:rPr>
          <w:rFonts w:ascii="Arial" w:hAnsi="Arial" w:cs="Arial"/>
          <w:color w:val="000000"/>
          <w:sz w:val="20"/>
          <w:szCs w:val="20"/>
          <w:shd w:val="clear" w:color="auto" w:fill="FFFFFF"/>
        </w:rPr>
        <w:t>glukuronidering</w:t>
      </w:r>
      <w:proofErr w:type="spellEnd"/>
      <w:r>
        <w:rPr>
          <w:rFonts w:ascii="Arial" w:hAnsi="Arial" w:cs="Arial"/>
          <w:sz w:val="20"/>
          <w:szCs w:val="20"/>
          <w:lang w:eastAsia="nb-NO"/>
        </w:rPr>
        <w:t xml:space="preserve"> eller </w:t>
      </w:r>
      <w:proofErr w:type="spellStart"/>
      <w:r>
        <w:rPr>
          <w:rFonts w:ascii="Arial" w:hAnsi="Arial" w:cs="Arial"/>
          <w:sz w:val="20"/>
          <w:szCs w:val="20"/>
          <w:lang w:eastAsia="nb-NO"/>
        </w:rPr>
        <w:t>glomerulær</w:t>
      </w:r>
      <w:proofErr w:type="spellEnd"/>
      <w:r>
        <w:rPr>
          <w:rFonts w:ascii="Arial" w:hAnsi="Arial" w:cs="Arial"/>
          <w:sz w:val="20"/>
          <w:szCs w:val="20"/>
          <w:lang w:eastAsia="nb-NO"/>
        </w:rPr>
        <w:t xml:space="preserve"> filtrasjon er økt. Dette kan føre til både </w:t>
      </w:r>
      <w:proofErr w:type="spellStart"/>
      <w:r>
        <w:rPr>
          <w:rFonts w:ascii="Arial" w:hAnsi="Arial" w:cs="Arial"/>
          <w:sz w:val="20"/>
          <w:szCs w:val="20"/>
          <w:lang w:eastAsia="nb-NO"/>
        </w:rPr>
        <w:t>subterapeutiske</w:t>
      </w:r>
      <w:proofErr w:type="spellEnd"/>
      <w:r>
        <w:rPr>
          <w:rFonts w:ascii="Arial" w:hAnsi="Arial" w:cs="Arial"/>
          <w:sz w:val="20"/>
          <w:szCs w:val="20"/>
          <w:lang w:eastAsia="nb-NO"/>
        </w:rPr>
        <w:t xml:space="preserve"> og toksiske konsentrasjoner av legemidler. </w:t>
      </w:r>
      <w:r>
        <w:rPr>
          <w:rFonts w:ascii="Arial" w:hAnsi="Arial" w:cs="Arial"/>
          <w:color w:val="000000"/>
          <w:sz w:val="20"/>
          <w:szCs w:val="20"/>
          <w:shd w:val="clear" w:color="auto" w:fill="FFFFFF"/>
        </w:rPr>
        <w:t xml:space="preserve">Ut fra disse teoretiske </w:t>
      </w:r>
      <w:proofErr w:type="spellStart"/>
      <w:r>
        <w:rPr>
          <w:rFonts w:ascii="Arial" w:hAnsi="Arial" w:cs="Arial"/>
          <w:color w:val="000000"/>
          <w:sz w:val="20"/>
          <w:szCs w:val="20"/>
          <w:shd w:val="clear" w:color="auto" w:fill="FFFFFF"/>
        </w:rPr>
        <w:t>farmakokinetiske</w:t>
      </w:r>
      <w:proofErr w:type="spellEnd"/>
      <w:r>
        <w:rPr>
          <w:rFonts w:ascii="Arial" w:hAnsi="Arial" w:cs="Arial"/>
          <w:color w:val="000000"/>
          <w:sz w:val="20"/>
          <w:szCs w:val="20"/>
          <w:shd w:val="clear" w:color="auto" w:fill="FFFFFF"/>
        </w:rPr>
        <w:t xml:space="preserve"> betraktninger vil det økte distribusjonsvolumet hos overvektige føre til behov for økt metningsdose (</w:t>
      </w:r>
      <w:proofErr w:type="spellStart"/>
      <w:r>
        <w:rPr>
          <w:rFonts w:ascii="Arial" w:hAnsi="Arial" w:cs="Arial"/>
          <w:color w:val="000000"/>
          <w:sz w:val="20"/>
          <w:szCs w:val="20"/>
          <w:shd w:val="clear" w:color="auto" w:fill="FFFFFF"/>
        </w:rPr>
        <w:t>loading</w:t>
      </w:r>
      <w:proofErr w:type="spellEnd"/>
      <w:r>
        <w:rPr>
          <w:rFonts w:ascii="Arial" w:hAnsi="Arial" w:cs="Arial"/>
          <w:color w:val="000000"/>
          <w:sz w:val="20"/>
          <w:szCs w:val="20"/>
          <w:shd w:val="clear" w:color="auto" w:fill="FFFFFF"/>
        </w:rPr>
        <w:t xml:space="preserve"> dose), særlig gjelder </w:t>
      </w:r>
      <w:proofErr w:type="spellStart"/>
      <w:r>
        <w:rPr>
          <w:rFonts w:ascii="Arial" w:hAnsi="Arial" w:cs="Arial"/>
          <w:color w:val="000000"/>
          <w:sz w:val="20"/>
          <w:szCs w:val="20"/>
          <w:shd w:val="clear" w:color="auto" w:fill="FFFFFF"/>
        </w:rPr>
        <w:t>detet</w:t>
      </w:r>
      <w:proofErr w:type="spellEnd"/>
      <w:r>
        <w:rPr>
          <w:rFonts w:ascii="Arial" w:hAnsi="Arial" w:cs="Arial"/>
          <w:color w:val="000000"/>
          <w:sz w:val="20"/>
          <w:szCs w:val="20"/>
          <w:shd w:val="clear" w:color="auto" w:fill="FFFFFF"/>
        </w:rPr>
        <w:t xml:space="preserve"> fettløselige legemidler. Ved oppnådd likevekt (steady </w:t>
      </w:r>
      <w:proofErr w:type="spellStart"/>
      <w:r>
        <w:rPr>
          <w:rFonts w:ascii="Arial" w:hAnsi="Arial" w:cs="Arial"/>
          <w:color w:val="000000"/>
          <w:sz w:val="20"/>
          <w:szCs w:val="20"/>
          <w:shd w:val="clear" w:color="auto" w:fill="FFFFFF"/>
        </w:rPr>
        <w:t>state</w:t>
      </w:r>
      <w:proofErr w:type="spellEnd"/>
      <w:r>
        <w:rPr>
          <w:rFonts w:ascii="Arial" w:hAnsi="Arial" w:cs="Arial"/>
          <w:color w:val="000000"/>
          <w:sz w:val="20"/>
          <w:szCs w:val="20"/>
          <w:shd w:val="clear" w:color="auto" w:fill="FFFFFF"/>
        </w:rPr>
        <w:t xml:space="preserve">) er konsentrasjonen avhengig av </w:t>
      </w:r>
      <w:proofErr w:type="spellStart"/>
      <w:r>
        <w:rPr>
          <w:rFonts w:ascii="Arial" w:hAnsi="Arial" w:cs="Arial"/>
          <w:color w:val="000000"/>
          <w:sz w:val="20"/>
          <w:szCs w:val="20"/>
          <w:shd w:val="clear" w:color="auto" w:fill="FFFFFF"/>
        </w:rPr>
        <w:t>clearance</w:t>
      </w:r>
      <w:proofErr w:type="spellEnd"/>
      <w:r>
        <w:rPr>
          <w:rFonts w:ascii="Arial" w:hAnsi="Arial" w:cs="Arial"/>
          <w:color w:val="000000"/>
          <w:sz w:val="20"/>
          <w:szCs w:val="20"/>
          <w:shd w:val="clear" w:color="auto" w:fill="FFFFFF"/>
        </w:rPr>
        <w:t xml:space="preserve"> i lever og nyre. Dette betyr at vedlikeholdsdosene ikke trenger å bli endret. Det er likevel verdt å merke seg at halveringstiden for fettløselige legemidler er forlenget hos overvektige fordi et legemiddels eliminasjonshastighet er omvendt proporsjonal med distribusjonsvolumet. Konsekvensen er lengre tid før likevekt oppnås, og lengre tid før legemidlet er eliminert fra kroppen etter seponering.</w:t>
      </w:r>
    </w:p>
    <w:p w:rsidR="00BF7D82" w:rsidRDefault="00BF7D82">
      <w:pPr>
        <w:shd w:val="clear" w:color="auto" w:fill="FFFFFF"/>
        <w:spacing w:after="150" w:line="270" w:lineRule="atLeast"/>
        <w:rPr>
          <w:rFonts w:ascii="Arial" w:hAnsi="Arial" w:cs="Arial"/>
          <w:sz w:val="20"/>
          <w:szCs w:val="20"/>
          <w:lang w:eastAsia="nb-NO"/>
        </w:rPr>
      </w:pPr>
      <w:r>
        <w:rPr>
          <w:rFonts w:ascii="Arial" w:hAnsi="Arial" w:cs="Arial"/>
          <w:sz w:val="20"/>
          <w:szCs w:val="20"/>
          <w:lang w:eastAsia="nb-NO"/>
        </w:rPr>
        <w:t>Det kan være van</w:t>
      </w:r>
      <w:r w:rsidR="00613479">
        <w:rPr>
          <w:rFonts w:ascii="Arial" w:hAnsi="Arial" w:cs="Arial"/>
          <w:sz w:val="20"/>
          <w:szCs w:val="20"/>
          <w:lang w:eastAsia="nb-NO"/>
        </w:rPr>
        <w:t>s</w:t>
      </w:r>
      <w:r>
        <w:rPr>
          <w:rFonts w:ascii="Arial" w:hAnsi="Arial" w:cs="Arial"/>
          <w:sz w:val="20"/>
          <w:szCs w:val="20"/>
          <w:lang w:eastAsia="nb-NO"/>
        </w:rPr>
        <w:t xml:space="preserve">kelig å vurdere om metningsdoser/bolusdoser og/eller vedlikeholdsdoser skal baseres på IBW (ideal body </w:t>
      </w:r>
      <w:proofErr w:type="spellStart"/>
      <w:r>
        <w:rPr>
          <w:rFonts w:ascii="Arial" w:hAnsi="Arial" w:cs="Arial"/>
          <w:sz w:val="20"/>
          <w:szCs w:val="20"/>
          <w:lang w:eastAsia="nb-NO"/>
        </w:rPr>
        <w:t>weigt</w:t>
      </w:r>
      <w:proofErr w:type="spellEnd"/>
      <w:r>
        <w:rPr>
          <w:rFonts w:ascii="Arial" w:hAnsi="Arial" w:cs="Arial"/>
          <w:sz w:val="20"/>
          <w:szCs w:val="20"/>
          <w:lang w:eastAsia="nb-NO"/>
        </w:rPr>
        <w:t xml:space="preserve">), aktuell vekt eller </w:t>
      </w:r>
      <w:r w:rsidR="00932364">
        <w:rPr>
          <w:rFonts w:ascii="Arial" w:hAnsi="Arial" w:cs="Arial"/>
          <w:sz w:val="20"/>
          <w:szCs w:val="20"/>
          <w:lang w:eastAsia="nb-NO"/>
        </w:rPr>
        <w:t xml:space="preserve">justert </w:t>
      </w:r>
      <w:r>
        <w:rPr>
          <w:rFonts w:ascii="Arial" w:hAnsi="Arial" w:cs="Arial"/>
          <w:sz w:val="20"/>
          <w:szCs w:val="20"/>
          <w:lang w:eastAsia="nb-NO"/>
        </w:rPr>
        <w:t>doseringsvekt (=IBW + 0,4(aktuell vekt – IBW).</w:t>
      </w:r>
    </w:p>
    <w:p w:rsidR="00BF7D82" w:rsidRDefault="00BF7D82">
      <w:pPr>
        <w:shd w:val="clear" w:color="auto" w:fill="FFFFFF"/>
        <w:spacing w:after="150" w:line="270" w:lineRule="atLeast"/>
        <w:rPr>
          <w:rFonts w:ascii="Arial" w:hAnsi="Arial" w:cs="Arial"/>
          <w:sz w:val="20"/>
          <w:szCs w:val="20"/>
          <w:lang w:eastAsia="nb-NO"/>
        </w:rPr>
      </w:pPr>
      <w:r>
        <w:rPr>
          <w:rFonts w:ascii="Arial" w:hAnsi="Arial" w:cs="Arial"/>
          <w:color w:val="000000"/>
          <w:sz w:val="20"/>
          <w:szCs w:val="20"/>
          <w:lang w:eastAsia="nb-NO"/>
        </w:rPr>
        <w:t xml:space="preserve">For intravenøs dosering av </w:t>
      </w:r>
      <w:proofErr w:type="spellStart"/>
      <w:r>
        <w:rPr>
          <w:rFonts w:ascii="Arial" w:hAnsi="Arial" w:cs="Arial"/>
          <w:color w:val="000000"/>
          <w:sz w:val="20"/>
          <w:szCs w:val="20"/>
          <w:lang w:eastAsia="nb-NO"/>
        </w:rPr>
        <w:t>opioider</w:t>
      </w:r>
      <w:proofErr w:type="spellEnd"/>
      <w:r>
        <w:rPr>
          <w:rFonts w:ascii="Arial" w:hAnsi="Arial" w:cs="Arial"/>
          <w:color w:val="000000"/>
          <w:sz w:val="20"/>
          <w:szCs w:val="20"/>
          <w:lang w:eastAsia="nb-NO"/>
        </w:rPr>
        <w:t xml:space="preserve"> og </w:t>
      </w:r>
      <w:proofErr w:type="spellStart"/>
      <w:r>
        <w:rPr>
          <w:rFonts w:ascii="Arial" w:hAnsi="Arial" w:cs="Arial"/>
          <w:color w:val="000000"/>
          <w:sz w:val="20"/>
          <w:szCs w:val="20"/>
          <w:lang w:eastAsia="nb-NO"/>
        </w:rPr>
        <w:t>benzodiazepiner</w:t>
      </w:r>
      <w:proofErr w:type="spellEnd"/>
      <w:r>
        <w:rPr>
          <w:rFonts w:ascii="Arial" w:hAnsi="Arial" w:cs="Arial"/>
          <w:color w:val="000000"/>
          <w:sz w:val="20"/>
          <w:szCs w:val="20"/>
          <w:lang w:eastAsia="nb-NO"/>
        </w:rPr>
        <w:t xml:space="preserve">, er det vanlig å titrere seg opp til ønsket nivå av smerte kontroll og dybde av </w:t>
      </w:r>
      <w:proofErr w:type="spellStart"/>
      <w:r>
        <w:rPr>
          <w:rFonts w:ascii="Arial" w:hAnsi="Arial" w:cs="Arial"/>
          <w:color w:val="000000"/>
          <w:sz w:val="20"/>
          <w:szCs w:val="20"/>
          <w:lang w:eastAsia="nb-NO"/>
        </w:rPr>
        <w:t>sedasjon</w:t>
      </w:r>
      <w:proofErr w:type="spellEnd"/>
      <w:r>
        <w:rPr>
          <w:rFonts w:ascii="Arial" w:hAnsi="Arial" w:cs="Arial"/>
          <w:color w:val="000000"/>
          <w:sz w:val="20"/>
          <w:szCs w:val="20"/>
          <w:lang w:eastAsia="nb-NO"/>
        </w:rPr>
        <w:t>. For vektbasert doseringsanvisning av disse legemidlene, er IBW derfor hensiktsmessig å bruke ved BMI</w:t>
      </w:r>
      <w:r w:rsidR="00932364">
        <w:rPr>
          <w:rFonts w:ascii="Arial" w:hAnsi="Arial" w:cs="Arial"/>
          <w:color w:val="000000"/>
          <w:sz w:val="20"/>
          <w:szCs w:val="20"/>
          <w:lang w:eastAsia="nb-NO"/>
        </w:rPr>
        <w:t xml:space="preserve"> (body </w:t>
      </w:r>
      <w:proofErr w:type="spellStart"/>
      <w:r w:rsidR="00932364">
        <w:rPr>
          <w:rFonts w:ascii="Arial" w:hAnsi="Arial" w:cs="Arial"/>
          <w:color w:val="000000"/>
          <w:sz w:val="20"/>
          <w:szCs w:val="20"/>
          <w:lang w:eastAsia="nb-NO"/>
        </w:rPr>
        <w:t>mass</w:t>
      </w:r>
      <w:proofErr w:type="spellEnd"/>
      <w:r w:rsidR="00932364">
        <w:rPr>
          <w:rFonts w:ascii="Arial" w:hAnsi="Arial" w:cs="Arial"/>
          <w:color w:val="000000"/>
          <w:sz w:val="20"/>
          <w:szCs w:val="20"/>
          <w:lang w:eastAsia="nb-NO"/>
        </w:rPr>
        <w:t xml:space="preserve"> </w:t>
      </w:r>
      <w:proofErr w:type="spellStart"/>
      <w:r w:rsidR="00932364">
        <w:rPr>
          <w:rFonts w:ascii="Arial" w:hAnsi="Arial" w:cs="Arial"/>
          <w:color w:val="000000"/>
          <w:sz w:val="20"/>
          <w:szCs w:val="20"/>
          <w:lang w:eastAsia="nb-NO"/>
        </w:rPr>
        <w:t>index</w:t>
      </w:r>
      <w:proofErr w:type="spellEnd"/>
      <w:r w:rsidR="00932364">
        <w:rPr>
          <w:rFonts w:ascii="Arial" w:hAnsi="Arial" w:cs="Arial"/>
          <w:color w:val="000000"/>
          <w:sz w:val="20"/>
          <w:szCs w:val="20"/>
          <w:lang w:eastAsia="nb-NO"/>
        </w:rPr>
        <w:t>)</w:t>
      </w:r>
      <w:r>
        <w:rPr>
          <w:rFonts w:ascii="Arial" w:hAnsi="Arial" w:cs="Arial"/>
          <w:color w:val="000000"/>
          <w:sz w:val="20"/>
          <w:szCs w:val="20"/>
          <w:lang w:eastAsia="nb-NO"/>
        </w:rPr>
        <w:t xml:space="preserve"> &gt; 30 i og med at vedlikeholdsdosene stort sett baserer seg på denne vekt uavhengig av om legemidlet er </w:t>
      </w:r>
      <w:r w:rsidR="00582CA3">
        <w:rPr>
          <w:rFonts w:ascii="Arial" w:hAnsi="Arial" w:cs="Arial"/>
          <w:color w:val="000000"/>
          <w:sz w:val="20"/>
          <w:szCs w:val="20"/>
          <w:lang w:eastAsia="nb-NO"/>
        </w:rPr>
        <w:t>fettløselig eller vannløselig.</w:t>
      </w:r>
    </w:p>
    <w:p w:rsidR="00BF7D82" w:rsidRDefault="00BF7D82">
      <w:pPr>
        <w:shd w:val="clear" w:color="auto" w:fill="FFFFFF"/>
        <w:spacing w:after="0" w:line="240" w:lineRule="auto"/>
        <w:rPr>
          <w:rFonts w:ascii="Arial" w:hAnsi="Arial" w:cs="Arial"/>
          <w:color w:val="000000"/>
          <w:sz w:val="20"/>
          <w:szCs w:val="20"/>
          <w:lang w:eastAsia="nb-NO"/>
        </w:rPr>
      </w:pPr>
      <w:r>
        <w:rPr>
          <w:rFonts w:ascii="Arial" w:hAnsi="Arial" w:cs="Arial"/>
          <w:b/>
          <w:bCs/>
          <w:color w:val="000000"/>
          <w:sz w:val="20"/>
          <w:szCs w:val="20"/>
          <w:lang w:eastAsia="nb-NO"/>
        </w:rPr>
        <w:t>Idealvekt</w:t>
      </w:r>
      <w:r>
        <w:rPr>
          <w:rFonts w:ascii="Arial" w:hAnsi="Arial" w:cs="Arial"/>
          <w:color w:val="000000"/>
          <w:sz w:val="20"/>
          <w:szCs w:val="20"/>
          <w:lang w:eastAsia="nb-NO"/>
        </w:rPr>
        <w:t xml:space="preserve"> (ideal body </w:t>
      </w:r>
      <w:proofErr w:type="spellStart"/>
      <w:r>
        <w:rPr>
          <w:rFonts w:ascii="Arial" w:hAnsi="Arial" w:cs="Arial"/>
          <w:color w:val="000000"/>
          <w:sz w:val="20"/>
          <w:szCs w:val="20"/>
          <w:lang w:eastAsia="nb-NO"/>
        </w:rPr>
        <w:t>weight</w:t>
      </w:r>
      <w:proofErr w:type="spellEnd"/>
      <w:r>
        <w:rPr>
          <w:rFonts w:ascii="Arial" w:hAnsi="Arial" w:cs="Arial"/>
          <w:color w:val="000000"/>
          <w:sz w:val="20"/>
          <w:szCs w:val="20"/>
          <w:lang w:eastAsia="nb-NO"/>
        </w:rPr>
        <w:t>, IBW) er vekt basert på høyde og kjønn</w:t>
      </w:r>
    </w:p>
    <w:p w:rsidR="00BF7D82" w:rsidRDefault="00BF7D82">
      <w:pPr>
        <w:shd w:val="clear" w:color="auto" w:fill="FFFFFF"/>
        <w:spacing w:after="0" w:line="240" w:lineRule="auto"/>
        <w:rPr>
          <w:rFonts w:ascii="Arial" w:hAnsi="Arial" w:cs="Arial"/>
          <w:color w:val="000000"/>
          <w:sz w:val="20"/>
          <w:szCs w:val="20"/>
          <w:lang w:eastAsia="nb-NO"/>
        </w:rPr>
      </w:pPr>
    </w:p>
    <w:p w:rsidR="00BF7D82" w:rsidRPr="00932364" w:rsidRDefault="00BF7D82">
      <w:pPr>
        <w:shd w:val="clear" w:color="auto" w:fill="FFFFFF"/>
        <w:spacing w:after="0" w:line="240" w:lineRule="auto"/>
        <w:rPr>
          <w:rFonts w:ascii="Arial" w:hAnsi="Arial" w:cs="Arial"/>
          <w:color w:val="000000"/>
          <w:sz w:val="16"/>
          <w:szCs w:val="16"/>
          <w:lang w:eastAsia="nb-NO"/>
        </w:rPr>
      </w:pPr>
      <w:r>
        <w:rPr>
          <w:rFonts w:ascii="Arial" w:hAnsi="Arial" w:cs="Arial"/>
          <w:color w:val="000000"/>
          <w:sz w:val="20"/>
          <w:szCs w:val="20"/>
          <w:lang w:eastAsia="nb-NO"/>
        </w:rPr>
        <w:tab/>
      </w:r>
      <w:r w:rsidRPr="00932364">
        <w:rPr>
          <w:rFonts w:ascii="Arial" w:hAnsi="Arial" w:cs="Arial"/>
          <w:color w:val="000000"/>
          <w:sz w:val="16"/>
          <w:szCs w:val="16"/>
          <w:lang w:eastAsia="nb-NO"/>
        </w:rPr>
        <w:t>IBW menn = 49,9 + 0,89 (høyde i cm – 152,4)</w:t>
      </w:r>
    </w:p>
    <w:p w:rsidR="00BF7D82" w:rsidRPr="00932364" w:rsidRDefault="00BF7D82">
      <w:pPr>
        <w:shd w:val="clear" w:color="auto" w:fill="FFFFFF"/>
        <w:spacing w:after="0" w:line="240" w:lineRule="auto"/>
        <w:rPr>
          <w:rFonts w:ascii="Arial" w:hAnsi="Arial" w:cs="Arial"/>
          <w:color w:val="000000"/>
          <w:sz w:val="16"/>
          <w:szCs w:val="16"/>
          <w:lang w:eastAsia="nb-NO"/>
        </w:rPr>
      </w:pPr>
      <w:r w:rsidRPr="00932364">
        <w:rPr>
          <w:rFonts w:ascii="Arial" w:hAnsi="Arial" w:cs="Arial"/>
          <w:color w:val="000000"/>
          <w:sz w:val="16"/>
          <w:szCs w:val="16"/>
          <w:lang w:eastAsia="nb-NO"/>
        </w:rPr>
        <w:tab/>
      </w:r>
    </w:p>
    <w:p w:rsidR="00BF7D82" w:rsidRPr="00932364" w:rsidRDefault="00BF7D82">
      <w:pPr>
        <w:shd w:val="clear" w:color="auto" w:fill="FFFFFF"/>
        <w:spacing w:after="0" w:line="240" w:lineRule="auto"/>
        <w:rPr>
          <w:rFonts w:ascii="Arial" w:hAnsi="Arial" w:cs="Arial"/>
          <w:color w:val="000000"/>
          <w:sz w:val="16"/>
          <w:szCs w:val="16"/>
          <w:lang w:eastAsia="nb-NO"/>
        </w:rPr>
      </w:pPr>
      <w:r w:rsidRPr="00932364">
        <w:rPr>
          <w:rFonts w:ascii="Arial" w:hAnsi="Arial" w:cs="Arial"/>
          <w:color w:val="000000"/>
          <w:sz w:val="16"/>
          <w:szCs w:val="16"/>
          <w:lang w:eastAsia="nb-NO"/>
        </w:rPr>
        <w:tab/>
        <w:t>IBW kvinner = 45,4 + 0.89 (høyde i cm – 152,4)</w:t>
      </w:r>
    </w:p>
    <w:p w:rsidR="00BF7D82" w:rsidRDefault="00BF7D82">
      <w:pPr>
        <w:shd w:val="clear" w:color="auto" w:fill="FFFFFF"/>
        <w:spacing w:after="0" w:line="240" w:lineRule="auto"/>
        <w:rPr>
          <w:rFonts w:ascii="Arial" w:hAnsi="Arial" w:cs="Arial"/>
          <w:color w:val="000000"/>
          <w:sz w:val="20"/>
          <w:szCs w:val="20"/>
          <w:lang w:eastAsia="nb-NO"/>
        </w:rPr>
      </w:pPr>
    </w:p>
    <w:p w:rsidR="00932364" w:rsidRDefault="00932364" w:rsidP="00582CA3">
      <w:pPr>
        <w:shd w:val="clear" w:color="auto" w:fill="FFFFFF"/>
        <w:spacing w:before="150" w:after="150" w:line="270" w:lineRule="atLeast"/>
        <w:rPr>
          <w:rFonts w:ascii="Arial" w:hAnsi="Arial" w:cs="Arial"/>
          <w:b/>
          <w:bCs/>
          <w:color w:val="000000"/>
          <w:lang w:eastAsia="nb-NO"/>
        </w:rPr>
      </w:pPr>
      <w:r>
        <w:rPr>
          <w:rFonts w:ascii="Arial" w:hAnsi="Arial" w:cs="Arial"/>
          <w:b/>
          <w:bCs/>
          <w:color w:val="000000"/>
          <w:lang w:eastAsia="nb-NO"/>
        </w:rPr>
        <w:t>I stedet for å beregne idealvekt</w:t>
      </w:r>
      <w:r w:rsidR="00BF7D82">
        <w:rPr>
          <w:rFonts w:ascii="Arial" w:hAnsi="Arial" w:cs="Arial"/>
          <w:b/>
          <w:bCs/>
          <w:color w:val="000000"/>
          <w:lang w:eastAsia="nb-NO"/>
        </w:rPr>
        <w:t xml:space="preserve"> </w:t>
      </w:r>
      <w:r w:rsidR="00BF7D82" w:rsidRPr="00613479">
        <w:rPr>
          <w:rFonts w:ascii="Arial" w:hAnsi="Arial" w:cs="Arial"/>
          <w:bCs/>
          <w:color w:val="000000"/>
          <w:lang w:eastAsia="nb-NO"/>
        </w:rPr>
        <w:t xml:space="preserve">(mange kalkulatorer tilgjengelig på </w:t>
      </w:r>
      <w:proofErr w:type="spellStart"/>
      <w:r w:rsidR="00BF7D82" w:rsidRPr="00613479">
        <w:rPr>
          <w:rFonts w:ascii="Arial" w:hAnsi="Arial" w:cs="Arial"/>
          <w:bCs/>
          <w:color w:val="000000"/>
          <w:lang w:eastAsia="nb-NO"/>
        </w:rPr>
        <w:t>apper</w:t>
      </w:r>
      <w:proofErr w:type="spellEnd"/>
      <w:r w:rsidR="00BF7D82" w:rsidRPr="00613479">
        <w:rPr>
          <w:rFonts w:ascii="Arial" w:hAnsi="Arial" w:cs="Arial"/>
          <w:bCs/>
          <w:color w:val="000000"/>
          <w:lang w:eastAsia="nb-NO"/>
        </w:rPr>
        <w:t xml:space="preserve"> og nettet)</w:t>
      </w:r>
      <w:r w:rsidR="00BF7D82">
        <w:rPr>
          <w:rFonts w:ascii="Arial" w:hAnsi="Arial" w:cs="Arial"/>
          <w:b/>
          <w:bCs/>
          <w:color w:val="000000"/>
          <w:lang w:eastAsia="nb-NO"/>
        </w:rPr>
        <w:t>, er det mulig å gå inn i en BMI tabell og finne normal vekt i forhold til høyde og BMI 20-25</w:t>
      </w:r>
      <w:r>
        <w:rPr>
          <w:rFonts w:ascii="Arial" w:hAnsi="Arial" w:cs="Arial"/>
          <w:b/>
          <w:bCs/>
          <w:color w:val="000000"/>
          <w:lang w:eastAsia="nb-NO"/>
        </w:rPr>
        <w:t>, eller bruke tommelfinger regelen:</w:t>
      </w:r>
    </w:p>
    <w:p w:rsidR="00BF7D82" w:rsidRPr="00932364" w:rsidRDefault="00932364" w:rsidP="00582CA3">
      <w:pPr>
        <w:shd w:val="clear" w:color="auto" w:fill="FFFFFF"/>
        <w:spacing w:before="150" w:after="150" w:line="270" w:lineRule="atLeast"/>
        <w:rPr>
          <w:rFonts w:ascii="Arial" w:hAnsi="Arial" w:cs="Arial"/>
          <w:b/>
          <w:bCs/>
          <w:color w:val="000000"/>
          <w:lang w:eastAsia="nb-NO"/>
        </w:rPr>
      </w:pPr>
      <w:r>
        <w:rPr>
          <w:rFonts w:ascii="Arial" w:hAnsi="Arial" w:cs="Arial"/>
          <w:b/>
          <w:bCs/>
          <w:color w:val="000000"/>
          <w:lang w:eastAsia="nb-NO"/>
        </w:rPr>
        <w:t>Idealvekt = høyde (cm) – 100</w:t>
      </w:r>
    </w:p>
    <w:p w:rsidR="00BF7D82" w:rsidRPr="00613479" w:rsidRDefault="00BF7D82">
      <w:pPr>
        <w:rPr>
          <w:rFonts w:ascii="Arial" w:hAnsi="Arial" w:cs="Arial"/>
          <w:b/>
          <w:sz w:val="28"/>
          <w:szCs w:val="28"/>
        </w:rPr>
      </w:pPr>
    </w:p>
    <w:p w:rsidR="00B5081D" w:rsidRDefault="00B5081D">
      <w:pPr>
        <w:rPr>
          <w:rFonts w:ascii="Arial" w:hAnsi="Arial" w:cs="Arial"/>
          <w:b/>
        </w:rPr>
      </w:pPr>
      <w:r w:rsidRPr="00613479">
        <w:rPr>
          <w:rFonts w:ascii="Arial" w:hAnsi="Arial" w:cs="Arial"/>
          <w:b/>
        </w:rPr>
        <w:t>Hos pasienter med BMI ≤ 30 skal aktuell vekt brukes.</w:t>
      </w:r>
    </w:p>
    <w:p w:rsidR="00613479" w:rsidRPr="00613479" w:rsidRDefault="00613479">
      <w:pPr>
        <w:rPr>
          <w:rFonts w:ascii="Arial" w:hAnsi="Arial" w:cs="Arial"/>
          <w:b/>
        </w:rPr>
      </w:pPr>
      <w:r>
        <w:rPr>
          <w:rFonts w:ascii="Arial" w:hAnsi="Arial" w:cs="Arial"/>
          <w:b/>
        </w:rPr>
        <w:t>Ved BMI</w:t>
      </w:r>
      <w:r w:rsidR="00582CA3">
        <w:rPr>
          <w:rFonts w:ascii="Arial" w:hAnsi="Arial" w:cs="Arial"/>
          <w:b/>
        </w:rPr>
        <w:t xml:space="preserve"> </w:t>
      </w:r>
      <w:r>
        <w:rPr>
          <w:rFonts w:ascii="Arial" w:hAnsi="Arial" w:cs="Arial"/>
          <w:b/>
        </w:rPr>
        <w:t>&gt;</w:t>
      </w:r>
      <w:r w:rsidR="00582CA3">
        <w:rPr>
          <w:rFonts w:ascii="Arial" w:hAnsi="Arial" w:cs="Arial"/>
          <w:b/>
        </w:rPr>
        <w:t xml:space="preserve"> 30 bruk idealvekt</w:t>
      </w:r>
      <w:r>
        <w:rPr>
          <w:rFonts w:ascii="Arial" w:hAnsi="Arial" w:cs="Arial"/>
          <w:b/>
        </w:rPr>
        <w:t>.</w:t>
      </w:r>
      <w:bookmarkStart w:id="0" w:name="_GoBack"/>
      <w:bookmarkEnd w:id="0"/>
    </w:p>
    <w:sectPr w:rsidR="00613479" w:rsidRPr="00613479" w:rsidSect="00BF7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82"/>
    <w:rsid w:val="00582CA3"/>
    <w:rsid w:val="00613479"/>
    <w:rsid w:val="00672C9B"/>
    <w:rsid w:val="00932364"/>
    <w:rsid w:val="00B5081D"/>
    <w:rsid w:val="00BF7D82"/>
    <w:rsid w:val="00E32E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uiPriority w:val="99"/>
    <w:rPr>
      <w:rFonts w:ascii="Times New Roman" w:hAnsi="Times New Roman" w:cs="Times New Roman"/>
    </w:rPr>
  </w:style>
  <w:style w:type="character" w:styleId="Hyperkobling">
    <w:name w:val="Hyperlink"/>
    <w:basedOn w:val="Standardskriftforavsnitt"/>
    <w:uiPriority w:val="99"/>
    <w:rPr>
      <w:rFonts w:ascii="Times New Roman" w:hAnsi="Times New Roman" w:cs="Times New Roman"/>
      <w:color w:val="0000FF"/>
      <w:u w:val="single"/>
    </w:rPr>
  </w:style>
  <w:style w:type="paragraph" w:styleId="NormalWeb">
    <w:name w:val="Normal (Web)"/>
    <w:basedOn w:val="Normal"/>
    <w:uiPriority w:val="99"/>
    <w:pPr>
      <w:spacing w:before="100" w:beforeAutospacing="1" w:after="100" w:afterAutospacing="1" w:line="240" w:lineRule="auto"/>
    </w:pPr>
    <w:rPr>
      <w:rFonts w:cstheme="minorBidi"/>
      <w:sz w:val="24"/>
      <w:szCs w:val="24"/>
      <w:lang w:eastAsia="nb-NO"/>
    </w:rPr>
  </w:style>
  <w:style w:type="character" w:styleId="Utheving">
    <w:name w:val="Emphasis"/>
    <w:basedOn w:val="Standardskriftforavsnitt"/>
    <w:uiPriority w:val="99"/>
    <w:qFormat/>
    <w:rPr>
      <w:rFonts w:ascii="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uiPriority w:val="99"/>
    <w:rPr>
      <w:rFonts w:ascii="Times New Roman" w:hAnsi="Times New Roman" w:cs="Times New Roman"/>
    </w:rPr>
  </w:style>
  <w:style w:type="character" w:styleId="Hyperkobling">
    <w:name w:val="Hyperlink"/>
    <w:basedOn w:val="Standardskriftforavsnitt"/>
    <w:uiPriority w:val="99"/>
    <w:rPr>
      <w:rFonts w:ascii="Times New Roman" w:hAnsi="Times New Roman" w:cs="Times New Roman"/>
      <w:color w:val="0000FF"/>
      <w:u w:val="single"/>
    </w:rPr>
  </w:style>
  <w:style w:type="paragraph" w:styleId="NormalWeb">
    <w:name w:val="Normal (Web)"/>
    <w:basedOn w:val="Normal"/>
    <w:uiPriority w:val="99"/>
    <w:pPr>
      <w:spacing w:before="100" w:beforeAutospacing="1" w:after="100" w:afterAutospacing="1" w:line="240" w:lineRule="auto"/>
    </w:pPr>
    <w:rPr>
      <w:rFonts w:cstheme="minorBidi"/>
      <w:sz w:val="24"/>
      <w:szCs w:val="24"/>
      <w:lang w:eastAsia="nb-NO"/>
    </w:rPr>
  </w:style>
  <w:style w:type="character" w:styleId="Utheving">
    <w:name w:val="Emphasis"/>
    <w:basedOn w:val="Standardskriftforavsnitt"/>
    <w:uiPriority w:val="99"/>
    <w:qFormat/>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940AC-DE95-457C-98D6-28396F10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33BA39E9</Template>
  <TotalTime>25</TotalTime>
  <Pages>1</Pages>
  <Words>338</Words>
  <Characters>1949</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LEGEMIDDELDOSERING HOS OVERVEKTIGE PASIENTER I FORHOLD TIL SEDASJON og ANALGESI</vt:lpstr>
    </vt:vector>
  </TitlesOfParts>
  <Company>Sykehusapotekene ANS</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LEGEMIDDELDOSERING HOS OVERVEKTIGE PASIENTER I FORHOLD TIL SEDASJON og ANALGESI</dc:title>
  <dc:creator>hildesp</dc:creator>
  <cp:lastModifiedBy>Hilde Margrete Sporsem</cp:lastModifiedBy>
  <cp:revision>7</cp:revision>
  <dcterms:created xsi:type="dcterms:W3CDTF">2021-01-12T12:55:00Z</dcterms:created>
  <dcterms:modified xsi:type="dcterms:W3CDTF">2021-01-12T13:34:00Z</dcterms:modified>
</cp:coreProperties>
</file>