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CD717D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10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CD717D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1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562479" w:rsidRDefault="00C05AB7" w:rsidP="00562479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2479">
              <w:t>I Program for</w:t>
            </w:r>
            <w:r w:rsidR="00A663E1">
              <w:t xml:space="preserve"> forbedring av driften </w:t>
            </w:r>
            <w:r w:rsidR="00562479">
              <w:t>i OUS 2017-202</w:t>
            </w:r>
            <w:r w:rsidR="00A663E1">
              <w:t>0</w:t>
            </w:r>
            <w:r w:rsidR="00562479">
              <w:t xml:space="preserve"> var et av delprosjektene </w:t>
            </w:r>
          </w:p>
          <w:p w:rsidR="00562479" w:rsidRDefault="00562479" w:rsidP="00562479">
            <w:pPr>
              <w:spacing w:before="40"/>
              <w:ind w:left="108"/>
            </w:pPr>
            <w:r>
              <w:t xml:space="preserve">Tiltak for bedre gjennomføring av poliklinisk drift. </w:t>
            </w:r>
            <w:r w:rsidR="00A663E1">
              <w:t>D</w:t>
            </w:r>
            <w:r>
              <w:t xml:space="preserve">okument </w:t>
            </w:r>
            <w:r w:rsidR="00A663E1">
              <w:t xml:space="preserve">Tilgjengelighet og ressursstyring av poliklinisk virksomhet </w:t>
            </w:r>
            <w:r>
              <w:t xml:space="preserve">var resultatet av prosjektets arbeid, og det ble vedtatt for implementering i Ledermøtet den 9. mai 2017. </w:t>
            </w:r>
          </w:p>
          <w:p w:rsidR="00562479" w:rsidRDefault="00562479" w:rsidP="00562479">
            <w:pPr>
              <w:spacing w:before="40"/>
              <w:ind w:left="108"/>
            </w:pPr>
          </w:p>
          <w:p w:rsidR="009C5AB9" w:rsidRDefault="00F338D3" w:rsidP="00F338D3">
            <w:pPr>
              <w:spacing w:before="40"/>
              <w:ind w:left="108"/>
            </w:pPr>
            <w:r>
              <w:t>Kunnskapsgrunnlaget, utover det som er e</w:t>
            </w:r>
            <w:r w:rsidR="00A47B0E">
              <w:t>r</w:t>
            </w:r>
            <w:r>
              <w:t>faringsbasert i OUS, er kartlagt i henhold til vedlagte PiCO- skjema. Dokumentet er revidert.</w:t>
            </w:r>
            <w:r>
              <w:rPr>
                <w:rFonts w:eastAsia="MS Mincho"/>
              </w:rPr>
              <w:t xml:space="preserve"> </w:t>
            </w:r>
            <w:r w:rsidR="00C05AB7"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2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7F6915" w:rsidRDefault="00C05AB7" w:rsidP="00C3480F">
            <w:pPr>
              <w:spacing w:before="40"/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26FA">
              <w:t>Se PICO-skjema</w:t>
            </w:r>
            <w:r>
              <w:rPr>
                <w:rFonts w:ascii="MS Mincho" w:eastAsia="MS Mincho" w:hAnsi="MS Mincho" w:cs="MS Mincho" w:hint="eastAsia"/>
              </w:rPr>
              <w:t>  </w:t>
            </w:r>
          </w:p>
          <w:p w:rsidR="007F6915" w:rsidRDefault="007F6915" w:rsidP="00C3480F">
            <w:pPr>
              <w:spacing w:before="40"/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For å sikre kontinuitet i diagnostikk og behandling er det viktig at pasienten innkalles til den tiden som er vurdert for kontakt. Med henblikk på den nasjonale indikatoren Passert pl</w:t>
            </w:r>
            <w:r w:rsidR="00405786">
              <w:rPr>
                <w:rFonts w:eastAsia="MS Mincho"/>
              </w:rPr>
              <w:t>a</w:t>
            </w:r>
            <w:r>
              <w:rPr>
                <w:rFonts w:eastAsia="MS Mincho"/>
              </w:rPr>
              <w:t>nlagt tid, har HSØ har definert tentativ dato slik:</w:t>
            </w:r>
          </w:p>
          <w:p w:rsidR="007F6915" w:rsidRDefault="007F6915" w:rsidP="007F6915">
            <w:r>
              <w:t xml:space="preserve">  </w:t>
            </w:r>
            <w:r w:rsidRPr="007F6915">
              <w:t>Pasienter som har fått tildelt tid etter planlagt tentativ dato avviker fra planlagt medisinsk</w:t>
            </w:r>
          </w:p>
          <w:p w:rsidR="00C05AB7" w:rsidRDefault="007F6915" w:rsidP="007F6915">
            <w:r>
              <w:t xml:space="preserve">  </w:t>
            </w:r>
            <w:r w:rsidRPr="007F6915">
              <w:t>forsvarlig tid i pasientforløpet</w:t>
            </w:r>
            <w:r>
              <w:t>.</w:t>
            </w:r>
            <w:r w:rsidR="00C05AB7">
              <w:rPr>
                <w:rFonts w:ascii="MS Mincho" w:eastAsia="MS Mincho" w:hAnsi="MS Mincho" w:cs="MS Mincho" w:hint="eastAsia"/>
              </w:rPr>
              <w:t>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FE0512" w:rsidRDefault="00C05AB7" w:rsidP="006C4267">
            <w:pPr>
              <w:spacing w:before="40"/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26FA">
              <w:t>Se PICO-skjema</w:t>
            </w:r>
            <w:r>
              <w:rPr>
                <w:rFonts w:ascii="MS Mincho" w:eastAsia="MS Mincho" w:hAnsi="MS Mincho" w:cs="MS Mincho" w:hint="eastAsia"/>
              </w:rPr>
              <w:t> </w:t>
            </w:r>
          </w:p>
          <w:p w:rsidR="00C05AB7" w:rsidRDefault="00FE0512" w:rsidP="00FE0512">
            <w:pPr>
              <w:spacing w:before="40"/>
              <w:ind w:left="108"/>
            </w:pPr>
            <w:r>
              <w:rPr>
                <w:rFonts w:eastAsia="MS Mincho"/>
              </w:rPr>
              <w:t>Dokumentet gjelder hovesakelig for roller i ledelse.</w:t>
            </w:r>
            <w:r w:rsidR="00C05AB7">
              <w:rPr>
                <w:rFonts w:ascii="MS Mincho" w:eastAsia="MS Mincho" w:hAnsi="MS Mincho" w:cs="MS Mincho" w:hint="eastAsia"/>
              </w:rPr>
              <w:t>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023661" w:rsidRDefault="00C05AB7" w:rsidP="00023661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23661">
              <w:t>Prosjektdeltagere 2016-2017</w:t>
            </w:r>
          </w:p>
          <w:p w:rsidR="00023661" w:rsidRDefault="00023661" w:rsidP="00023661">
            <w:pPr>
              <w:ind w:left="108"/>
            </w:pPr>
            <w:r>
              <w:t>Bjørn Busund, Prosjektleder/klinikkleder Kvinneklinikken</w:t>
            </w:r>
          </w:p>
          <w:p w:rsidR="00023661" w:rsidRDefault="00023661" w:rsidP="00023661">
            <w:pPr>
              <w:ind w:left="108"/>
            </w:pPr>
            <w:r>
              <w:t>Helén Blegen Ween, Spesialrådgiver , Direktørens stab</w:t>
            </w:r>
          </w:p>
          <w:p w:rsidR="005E3C81" w:rsidRDefault="00023661" w:rsidP="00023661">
            <w:pPr>
              <w:ind w:left="108"/>
            </w:pPr>
            <w:r>
              <w:t xml:space="preserve">Bjørn Warhus, Avdelingsleder, </w:t>
            </w:r>
            <w:r w:rsidR="005E3C81">
              <w:t xml:space="preserve">Avdeling for </w:t>
            </w:r>
            <w:r>
              <w:t>LIS&amp;</w:t>
            </w:r>
            <w:r w:rsidR="005E3C81">
              <w:t>Virksomhetsstyring</w:t>
            </w:r>
          </w:p>
          <w:p w:rsidR="005C38A5" w:rsidRDefault="005E3C81" w:rsidP="005E3C81">
            <w:pPr>
              <w:ind w:left="108"/>
            </w:pPr>
            <w:r>
              <w:t>Oma</w:t>
            </w:r>
            <w:r w:rsidR="005C38A5">
              <w:t>r</w:t>
            </w:r>
            <w:r>
              <w:t xml:space="preserve"> Alvin Pettersen, Teknisk forvalter, Avdeling for LIS&amp;Virksomhetsstyring</w:t>
            </w:r>
          </w:p>
          <w:p w:rsidR="005C38A5" w:rsidRDefault="005C38A5" w:rsidP="005C38A5">
            <w:pPr>
              <w:ind w:left="108"/>
            </w:pPr>
            <w:r>
              <w:t>Ulla Kiberg, Rådgiver, Avdeling for kliniske systemer</w:t>
            </w:r>
          </w:p>
          <w:p w:rsidR="005C38A5" w:rsidRDefault="005C38A5" w:rsidP="005C38A5">
            <w:pPr>
              <w:ind w:left="108"/>
            </w:pPr>
            <w:r>
              <w:t>Arild Holme, Økonomileder, klinikk for hode, hals og rekonstruktiv kirurgi</w:t>
            </w:r>
          </w:p>
          <w:p w:rsidR="005C38A5" w:rsidRDefault="005C38A5" w:rsidP="005C38A5">
            <w:pPr>
              <w:ind w:left="108"/>
            </w:pPr>
            <w:r>
              <w:t>Toril Selstad Waage, Økonomileder, Kvinneklinikken</w:t>
            </w:r>
          </w:p>
          <w:p w:rsidR="005C38A5" w:rsidRDefault="005C38A5" w:rsidP="005C38A5">
            <w:pPr>
              <w:ind w:left="108"/>
            </w:pPr>
            <w:r>
              <w:t>Irene Grundvold, Seksjonsleder, Hjertemedisinsk poliklinikk</w:t>
            </w:r>
          </w:p>
          <w:p w:rsidR="005C38A5" w:rsidRDefault="005C38A5" w:rsidP="005C38A5">
            <w:pPr>
              <w:ind w:left="108"/>
            </w:pPr>
            <w:r>
              <w:t>Anne Løfsgaard, Rådgiver, HR</w:t>
            </w:r>
          </w:p>
          <w:p w:rsidR="00590501" w:rsidRDefault="005C38A5" w:rsidP="005C38A5">
            <w:pPr>
              <w:ind w:left="108"/>
            </w:pPr>
            <w:r>
              <w:t>Evy Nordvik Johansen, Avdeling for aktivitet og analyse</w:t>
            </w:r>
          </w:p>
          <w:p w:rsidR="00590501" w:rsidRDefault="00590501" w:rsidP="005C38A5">
            <w:pPr>
              <w:ind w:left="108"/>
            </w:pPr>
          </w:p>
          <w:p w:rsidR="00590501" w:rsidRDefault="00590501" w:rsidP="00590501">
            <w:pPr>
              <w:ind w:left="108"/>
            </w:pPr>
            <w:r>
              <w:t xml:space="preserve">Veileder ved revidering av dokument: </w:t>
            </w:r>
            <w:r>
              <w:br/>
              <w:t>Karin Borgen, Direktørens stab.</w:t>
            </w:r>
          </w:p>
          <w:p w:rsidR="00590501" w:rsidRDefault="00590501" w:rsidP="00590501">
            <w:pPr>
              <w:ind w:left="108"/>
            </w:pPr>
          </w:p>
          <w:p w:rsidR="00590501" w:rsidRDefault="00590501" w:rsidP="00590501">
            <w:pPr>
              <w:ind w:left="108"/>
            </w:pPr>
            <w:r>
              <w:t xml:space="preserve">Dokumentet er revidert </w:t>
            </w:r>
            <w:r w:rsidR="00A9196B">
              <w:t xml:space="preserve">i henhold til kriterier for kunnskapsbasert praksis </w:t>
            </w:r>
            <w:r>
              <w:t>av dokumentansvarlig, Helén Blegen Ween,  på bestilling fra Medisinsk direktør, Hilde Myhren.</w:t>
            </w:r>
            <w:r w:rsidR="00F4464F">
              <w:t xml:space="preserve"> </w:t>
            </w:r>
          </w:p>
          <w:p w:rsidR="009C5AB9" w:rsidRDefault="005C38A5" w:rsidP="00590501">
            <w:pPr>
              <w:ind w:left="108"/>
            </w:pPr>
            <w:r>
              <w:t xml:space="preserve">  </w:t>
            </w:r>
            <w:r w:rsidR="00C05AB7"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9C5AB9" w:rsidRDefault="00C05AB7" w:rsidP="00A47B0E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20CB0">
              <w:rPr>
                <w:rFonts w:eastAsia="MS Mincho"/>
              </w:rPr>
              <w:t xml:space="preserve">Dokumentet har vært på høring hos klinikkledere, i Direktørens stab (MHB og ØJI) </w:t>
            </w:r>
            <w:r w:rsidR="00A47B0E">
              <w:rPr>
                <w:rFonts w:eastAsia="MS Mincho"/>
              </w:rPr>
              <w:t>,</w:t>
            </w:r>
            <w:r w:rsidR="00620CB0">
              <w:rPr>
                <w:rFonts w:eastAsia="MS Mincho"/>
              </w:rPr>
              <w:t xml:space="preserve"> i </w:t>
            </w:r>
            <w:r w:rsidR="00A47B0E">
              <w:rPr>
                <w:rFonts w:eastAsia="MS Mincho"/>
              </w:rPr>
              <w:t>Ventelisterådet og i Kontorfaglig nettverk.</w:t>
            </w:r>
            <w:r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lastRenderedPageBreak/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4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1629F5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20CB0">
              <w:rPr>
                <w:rFonts w:eastAsia="MS Mincho"/>
              </w:rPr>
              <w:t xml:space="preserve">Avdelingsleder har ansvar for at at det gjennom planer for drift av poliklinikk er tilrettelagt for </w:t>
            </w:r>
            <w:r w:rsidR="001629F5">
              <w:rPr>
                <w:rFonts w:eastAsia="MS Mincho"/>
              </w:rPr>
              <w:t>god</w:t>
            </w:r>
            <w:r w:rsidR="00620CB0">
              <w:rPr>
                <w:rFonts w:eastAsia="MS Mincho"/>
              </w:rPr>
              <w:t xml:space="preserve"> pasientbehandling (tilgjengelighet og kapasitetsutnyttelse). Det er vedtatt i Ledermøtet at sek</w:t>
            </w:r>
            <w:r w:rsidR="00FF001B">
              <w:rPr>
                <w:rFonts w:eastAsia="MS Mincho"/>
              </w:rPr>
              <w:t>sj</w:t>
            </w:r>
            <w:r w:rsidR="00620CB0">
              <w:rPr>
                <w:rFonts w:eastAsia="MS Mincho"/>
              </w:rPr>
              <w:t>onsleder poliklinikk har hovedansvar for, og i samarbeid med seksjonsleder leger, å utarbeide plan for drift av poliklinikk slik at prosesser og aktivitetet styres med utgangspunkt i overordnde føringer og planer.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1552BA" w:rsidRDefault="00C74BB8" w:rsidP="00C3480F">
            <w:pPr>
              <w:ind w:left="108"/>
              <w:rPr>
                <w:rFonts w:eastAsia="MS Mincho"/>
              </w:rPr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</w:t>
            </w:r>
          </w:p>
          <w:p w:rsidR="001552BA" w:rsidRDefault="001552BA" w:rsidP="001552BA">
            <w:pPr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Se ved</w:t>
            </w:r>
            <w:r w:rsidR="00F4464F">
              <w:rPr>
                <w:rFonts w:eastAsia="MS Mincho"/>
              </w:rPr>
              <w:t>l</w:t>
            </w:r>
            <w:r>
              <w:rPr>
                <w:rFonts w:eastAsia="MS Mincho"/>
              </w:rPr>
              <w:t xml:space="preserve">agt dokumentasjon </w:t>
            </w:r>
            <w:r w:rsidR="00F4464F">
              <w:rPr>
                <w:rFonts w:eastAsia="MS Mincho"/>
              </w:rPr>
              <w:t xml:space="preserve">av litteratursøk </w:t>
            </w:r>
            <w:r>
              <w:rPr>
                <w:rFonts w:eastAsia="MS Mincho"/>
              </w:rPr>
              <w:t xml:space="preserve">fra biblotekar. </w:t>
            </w:r>
          </w:p>
          <w:p w:rsidR="009C5AB9" w:rsidRDefault="00F4464F" w:rsidP="009A0F5F">
            <w:pPr>
              <w:ind w:left="108"/>
            </w:pPr>
            <w:r>
              <w:rPr>
                <w:rFonts w:eastAsia="MS Mincho"/>
              </w:rPr>
              <w:t xml:space="preserve">Det foreligger </w:t>
            </w:r>
            <w:r w:rsidR="001552BA">
              <w:rPr>
                <w:rFonts w:eastAsia="MS Mincho"/>
              </w:rPr>
              <w:t>søk</w:t>
            </w:r>
            <w:r>
              <w:rPr>
                <w:rFonts w:eastAsia="MS Mincho"/>
              </w:rPr>
              <w:t xml:space="preserve"> i retningslinjer og kliniske oppslagsverk</w:t>
            </w:r>
            <w:r w:rsidR="001552BA">
              <w:rPr>
                <w:rFonts w:eastAsia="MS Mincho"/>
              </w:rPr>
              <w:t xml:space="preserve">, systematiske oversikter og </w:t>
            </w:r>
            <w:r w:rsidR="009A0F5F">
              <w:rPr>
                <w:rFonts w:eastAsia="MS Mincho"/>
              </w:rPr>
              <w:t>fra</w:t>
            </w:r>
            <w:r w:rsidR="001552BA">
              <w:rPr>
                <w:rFonts w:eastAsia="MS Mincho"/>
              </w:rPr>
              <w:t xml:space="preserve"> primærstudier.</w:t>
            </w:r>
            <w:r w:rsidR="00C05AB7">
              <w:rPr>
                <w:rFonts w:ascii="MS Mincho" w:eastAsia="MS Mincho" w:hAnsi="MS Mincho" w:cs="MS Mincho" w:hint="eastAsia"/>
              </w:rPr>
              <w:t>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FC0CCE" w:rsidRDefault="00C05AB7" w:rsidP="00071644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1644">
              <w:t xml:space="preserve">Det er tradisjon for at kunnskapsbaserte prosedyrer i hovedsak </w:t>
            </w:r>
            <w:r w:rsidR="00FC0CCE">
              <w:t xml:space="preserve">er </w:t>
            </w:r>
            <w:r w:rsidR="00071644">
              <w:t>ret</w:t>
            </w:r>
            <w:r w:rsidR="00FC0CCE">
              <w:t>tet mot</w:t>
            </w:r>
            <w:r w:rsidR="00071644">
              <w:t xml:space="preserve"> klinisk</w:t>
            </w:r>
            <w:r w:rsidR="00FC0CCE">
              <w:t>e</w:t>
            </w:r>
          </w:p>
          <w:p w:rsidR="00071644" w:rsidRDefault="00FC0CCE" w:rsidP="00071644">
            <w:pPr>
              <w:ind w:left="108"/>
            </w:pPr>
            <w:r>
              <w:t>f</w:t>
            </w:r>
            <w:r w:rsidR="00071644">
              <w:t>agprosedyrer</w:t>
            </w:r>
            <w:r w:rsidR="00602339">
              <w:t>, og i mindre grad pasientadministrative rutiner</w:t>
            </w:r>
            <w:r w:rsidR="00071644">
              <w:t>. OUS implementerte DIPS som klinisk</w:t>
            </w:r>
            <w:r w:rsidR="00602339">
              <w:t xml:space="preserve">- og pasientadministrativt </w:t>
            </w:r>
            <w:r w:rsidR="00071644">
              <w:t>system ultimo 2014. I forbindelse med overgang til nytt system ble alle henvisninger kvalitetssikret; gamle henvisninger ble lukket</w:t>
            </w:r>
            <w:r w:rsidR="00394B82">
              <w:t xml:space="preserve">, </w:t>
            </w:r>
            <w:r w:rsidR="00071644">
              <w:t>og feil i forbindelse med konvertering ble rettet opp. Målet var å fremstille et riktig antall v</w:t>
            </w:r>
            <w:r w:rsidR="00602339">
              <w:t>entende</w:t>
            </w:r>
            <w:r w:rsidR="00071644">
              <w:t xml:space="preserve"> på venteliste. I November 2015 ble det gjort endringer i pasient-og brukerrettighetsloven</w:t>
            </w:r>
            <w:r w:rsidR="00E72105">
              <w:t xml:space="preserve"> med henblikk på prioritering og rett til helsehjelp i Spesialisthelsetjenesten. Med henblikkk på Prioriteringsforskriften er derfor </w:t>
            </w:r>
            <w:r w:rsidR="00394B82">
              <w:t xml:space="preserve">utvalg av litteratur avgrenset til </w:t>
            </w:r>
            <w:r w:rsidR="00E72105">
              <w:t xml:space="preserve"> </w:t>
            </w:r>
            <w:r w:rsidR="00394B82">
              <w:t>arbeid utført fra og med 2015.</w:t>
            </w:r>
          </w:p>
          <w:p w:rsidR="00CC4EBE" w:rsidRDefault="00837B56" w:rsidP="00CC4EBE">
            <w:pPr>
              <w:ind w:left="108"/>
            </w:pPr>
            <w:r>
              <w:t xml:space="preserve">Søkekriteriene for kunnskapsgrunnlaget er dokumentert i PICO-skjema. </w:t>
            </w:r>
            <w:r w:rsidR="00071644">
              <w:t>Ved gjennomgang av 131 primærstudier</w:t>
            </w:r>
            <w:r w:rsidR="00CC4EBE">
              <w:t>, 22 systemastiske oversikter og 12 retningslinjer/klinisk</w:t>
            </w:r>
            <w:r w:rsidR="00602339">
              <w:t>e</w:t>
            </w:r>
            <w:r w:rsidR="00CC4EBE">
              <w:t xml:space="preserve"> oppslagsverk er det ingen spesifikke artikler som direkte omhandler effektiv drift av poliklinikk knyttet til tilgjengelighet og ressursplanlegging. De fleste artikler retter seg mot organisering og oppfølging av konkrete diagnosegrupper</w:t>
            </w:r>
            <w:r>
              <w:t xml:space="preserve"> (diagnosestudier</w:t>
            </w:r>
            <w:r w:rsidR="00165B91">
              <w:t>/kliniske studier</w:t>
            </w:r>
            <w:r>
              <w:t>)</w:t>
            </w:r>
            <w:r w:rsidR="00CC4EBE">
              <w:t>. Men det fanges opp begreper og</w:t>
            </w:r>
            <w:r w:rsidR="00661E36">
              <w:t xml:space="preserve"> nøkkel</w:t>
            </w:r>
            <w:r w:rsidR="00CC4EBE">
              <w:t xml:space="preserve">ord som indirekte omhandler pasientadministrative rutiner </w:t>
            </w:r>
            <w:r>
              <w:t xml:space="preserve">og som er overførbare til pasientens perspektiv når det gjelder ledelse, organisering og styring av </w:t>
            </w:r>
            <w:r w:rsidR="00CC4EBE">
              <w:t>flyt i pasientforløpet.</w:t>
            </w:r>
          </w:p>
          <w:p w:rsidR="007476C6" w:rsidRDefault="007476C6" w:rsidP="00CC4EBE">
            <w:pPr>
              <w:ind w:left="108"/>
            </w:pPr>
          </w:p>
          <w:p w:rsidR="007476C6" w:rsidRDefault="00661E36" w:rsidP="00CC4EBE">
            <w:pPr>
              <w:ind w:left="108"/>
            </w:pPr>
            <w:r>
              <w:t>Nøkkel</w:t>
            </w:r>
            <w:r w:rsidR="007476C6">
              <w:t>ord fra systematisk</w:t>
            </w:r>
            <w:r w:rsidR="00E33604">
              <w:t xml:space="preserve">e </w:t>
            </w:r>
            <w:r w:rsidR="007476C6">
              <w:t>oversikter:</w:t>
            </w:r>
          </w:p>
          <w:p w:rsidR="007476C6" w:rsidRDefault="007476C6" w:rsidP="00CC4EBE">
            <w:pPr>
              <w:ind w:left="108"/>
            </w:pPr>
            <w:r>
              <w:t>Prognosetap</w:t>
            </w:r>
          </w:p>
          <w:p w:rsidR="007476C6" w:rsidRDefault="007476C6" w:rsidP="00CC4EBE">
            <w:pPr>
              <w:ind w:left="108"/>
            </w:pPr>
            <w:r>
              <w:t>Behandlin</w:t>
            </w:r>
            <w:r w:rsidR="00E33604">
              <w:t>g</w:t>
            </w:r>
            <w:r>
              <w:t>splan</w:t>
            </w:r>
          </w:p>
          <w:p w:rsidR="007476C6" w:rsidRDefault="007476C6" w:rsidP="00CC4EBE">
            <w:pPr>
              <w:ind w:left="108"/>
            </w:pPr>
            <w:r>
              <w:t>MDT- møter</w:t>
            </w:r>
          </w:p>
          <w:p w:rsidR="007476C6" w:rsidRDefault="007476C6" w:rsidP="00CC4EBE">
            <w:pPr>
              <w:ind w:left="108"/>
            </w:pPr>
          </w:p>
          <w:p w:rsidR="007476C6" w:rsidRDefault="00661E36" w:rsidP="00CC4EBE">
            <w:pPr>
              <w:ind w:left="108"/>
            </w:pPr>
            <w:r>
              <w:t>Nøkkel</w:t>
            </w:r>
            <w:r w:rsidR="007476C6">
              <w:t>ord fra primærstudier:</w:t>
            </w:r>
          </w:p>
          <w:p w:rsidR="007476C6" w:rsidRDefault="007476C6" w:rsidP="00CC4EBE">
            <w:pPr>
              <w:ind w:left="108"/>
            </w:pPr>
            <w:r>
              <w:t>Brukerundersøkelse</w:t>
            </w:r>
          </w:p>
          <w:p w:rsidR="007476C6" w:rsidRDefault="007476C6" w:rsidP="00CC4EBE">
            <w:pPr>
              <w:ind w:left="108"/>
            </w:pPr>
            <w:r>
              <w:t>Pasientens perspektiv</w:t>
            </w:r>
          </w:p>
          <w:p w:rsidR="007476C6" w:rsidRDefault="007476C6" w:rsidP="00CC4EBE">
            <w:pPr>
              <w:ind w:left="108"/>
            </w:pPr>
            <w:r>
              <w:t>Slotter</w:t>
            </w:r>
          </w:p>
          <w:p w:rsidR="007476C6" w:rsidRDefault="007476C6" w:rsidP="00CC4EBE">
            <w:pPr>
              <w:ind w:left="108"/>
            </w:pPr>
            <w:r>
              <w:t>Diagnosegruppe</w:t>
            </w:r>
          </w:p>
          <w:p w:rsidR="007476C6" w:rsidRDefault="007476C6" w:rsidP="00CC4EBE">
            <w:pPr>
              <w:ind w:left="108"/>
            </w:pPr>
            <w:r>
              <w:t>Telefonkonsultasjon</w:t>
            </w:r>
          </w:p>
          <w:p w:rsidR="007476C6" w:rsidRDefault="007476C6" w:rsidP="00CC4EBE">
            <w:pPr>
              <w:ind w:left="108"/>
            </w:pPr>
            <w:r>
              <w:t>Ambulant virksomhet</w:t>
            </w:r>
          </w:p>
          <w:p w:rsidR="007476C6" w:rsidRDefault="007476C6" w:rsidP="00CC4EBE">
            <w:pPr>
              <w:ind w:left="108"/>
            </w:pPr>
            <w:r>
              <w:t>LEAN- red</w:t>
            </w:r>
            <w:r w:rsidR="00E33604">
              <w:t>e</w:t>
            </w:r>
            <w:r>
              <w:t>sign av pasientforløp</w:t>
            </w:r>
          </w:p>
          <w:p w:rsidR="007476C6" w:rsidRDefault="007476C6" w:rsidP="00CC4EBE">
            <w:pPr>
              <w:ind w:left="108"/>
            </w:pPr>
            <w:r>
              <w:t>Avtaler basert på kontakttype</w:t>
            </w:r>
          </w:p>
          <w:p w:rsidR="007476C6" w:rsidRDefault="007476C6" w:rsidP="00CC4EBE">
            <w:pPr>
              <w:ind w:left="108"/>
            </w:pPr>
            <w:r>
              <w:t>Behandlingsprotokoller- guidelines</w:t>
            </w:r>
          </w:p>
          <w:p w:rsidR="007476C6" w:rsidRDefault="007476C6" w:rsidP="00CC4EBE">
            <w:pPr>
              <w:ind w:left="108"/>
            </w:pPr>
            <w:r>
              <w:t>Jobbglidning</w:t>
            </w:r>
          </w:p>
          <w:p w:rsidR="007476C6" w:rsidRDefault="007476C6" w:rsidP="00CC4EBE">
            <w:pPr>
              <w:ind w:left="108"/>
            </w:pPr>
            <w:r>
              <w:t>Timebok</w:t>
            </w:r>
          </w:p>
          <w:p w:rsidR="007476C6" w:rsidRDefault="007476C6" w:rsidP="00CC4EBE">
            <w:pPr>
              <w:ind w:left="108"/>
            </w:pPr>
            <w:r>
              <w:t>Hastegrad</w:t>
            </w:r>
          </w:p>
          <w:p w:rsidR="007476C6" w:rsidRDefault="007476C6" w:rsidP="00CC4EBE">
            <w:pPr>
              <w:ind w:left="108"/>
            </w:pPr>
            <w:r>
              <w:t>Redusert livskvalitet</w:t>
            </w:r>
          </w:p>
          <w:p w:rsidR="007476C6" w:rsidRDefault="007476C6" w:rsidP="00CC4EBE">
            <w:pPr>
              <w:ind w:left="108"/>
            </w:pPr>
            <w:r>
              <w:t>Arbeidplaner og timebok</w:t>
            </w:r>
          </w:p>
          <w:p w:rsidR="007476C6" w:rsidRDefault="007476C6" w:rsidP="00CC4EBE">
            <w:pPr>
              <w:ind w:left="108"/>
            </w:pPr>
            <w:r>
              <w:t>Redusere "ikke- møtt"</w:t>
            </w:r>
          </w:p>
          <w:p w:rsidR="007476C6" w:rsidRDefault="007476C6" w:rsidP="00CC4EBE">
            <w:pPr>
              <w:ind w:left="108"/>
            </w:pPr>
            <w:r>
              <w:t>Forebygge forsinket diagnostikk og behandling</w:t>
            </w:r>
          </w:p>
          <w:p w:rsidR="007476C6" w:rsidRDefault="007476C6" w:rsidP="00CC4EBE">
            <w:pPr>
              <w:ind w:left="108"/>
            </w:pPr>
            <w:r>
              <w:t>Prioriteringsveileder (siste frist)</w:t>
            </w:r>
          </w:p>
          <w:p w:rsidR="007476C6" w:rsidRDefault="007476C6" w:rsidP="00CC4EBE">
            <w:pPr>
              <w:ind w:left="108"/>
            </w:pPr>
            <w:r>
              <w:t>"Min journal"- Brukerstyrt timebestilling/avbestilling</w:t>
            </w:r>
            <w:r w:rsidR="00DA673C">
              <w:t xml:space="preserve"> </w:t>
            </w:r>
          </w:p>
          <w:p w:rsidR="009C5AB9" w:rsidRDefault="00C05AB7" w:rsidP="00CC4EBE">
            <w:pPr>
              <w:ind w:left="108"/>
            </w:pP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E33604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687E">
              <w:rPr>
                <w:rFonts w:eastAsia="MS Mincho"/>
              </w:rPr>
              <w:t xml:space="preserve">Kunnskapsgrunnlaget i dokumentet er styrket ved at de </w:t>
            </w:r>
            <w:r w:rsidR="00BE7037">
              <w:rPr>
                <w:rFonts w:eastAsia="MS Mincho"/>
              </w:rPr>
              <w:t>nøkkel</w:t>
            </w:r>
            <w:r w:rsidR="0015687E">
              <w:rPr>
                <w:rFonts w:eastAsia="MS Mincho"/>
              </w:rPr>
              <w:t>ordene som er</w:t>
            </w:r>
            <w:r w:rsidR="00BE7037">
              <w:rPr>
                <w:rFonts w:eastAsia="MS Mincho"/>
              </w:rPr>
              <w:t xml:space="preserve"> brukt og begrunnet for ønsket kontinuitet i behandling, i kliniske studier, også kan knyttes til pasintadministrative rutiner. </w:t>
            </w:r>
            <w:r w:rsidR="009024CD">
              <w:rPr>
                <w:rFonts w:eastAsia="MS Mincho"/>
              </w:rPr>
              <w:t>Resultat fra litteraturgjennomgangen  kan  settes inn i et systemperspektiv. Bruk av k</w:t>
            </w:r>
            <w:r w:rsidR="0015687E">
              <w:rPr>
                <w:rFonts w:eastAsia="MS Mincho"/>
              </w:rPr>
              <w:t xml:space="preserve">valitetssystemet, risikostyringssystemet, internkontrollsystemet, klinisk system, LIS, </w:t>
            </w:r>
            <w:r w:rsidR="009024CD">
              <w:rPr>
                <w:rFonts w:eastAsia="MS Mincho"/>
              </w:rPr>
              <w:t xml:space="preserve">GAT, </w:t>
            </w:r>
            <w:r w:rsidR="0015687E">
              <w:rPr>
                <w:rFonts w:eastAsia="MS Mincho"/>
              </w:rPr>
              <w:t>rapporteringsvariabler</w:t>
            </w:r>
            <w:r w:rsidR="00A6487F">
              <w:rPr>
                <w:rFonts w:eastAsia="MS Mincho"/>
              </w:rPr>
              <w:t xml:space="preserve">, økonomi </w:t>
            </w:r>
            <w:r w:rsidR="0015687E">
              <w:rPr>
                <w:rFonts w:eastAsia="MS Mincho"/>
              </w:rPr>
              <w:t>og budsjett</w:t>
            </w:r>
            <w:r w:rsidR="009024CD">
              <w:rPr>
                <w:rFonts w:eastAsia="MS Mincho"/>
              </w:rPr>
              <w:t xml:space="preserve"> bidrar til det som er erf</w:t>
            </w:r>
            <w:r w:rsidR="00A22BDD">
              <w:rPr>
                <w:rFonts w:eastAsia="MS Mincho"/>
              </w:rPr>
              <w:t>a</w:t>
            </w:r>
            <w:r w:rsidR="009024CD">
              <w:rPr>
                <w:rFonts w:eastAsia="MS Mincho"/>
              </w:rPr>
              <w:t>ringsbasert kunn</w:t>
            </w:r>
            <w:r w:rsidR="00A22BDD">
              <w:rPr>
                <w:rFonts w:eastAsia="MS Mincho"/>
              </w:rPr>
              <w:t>s</w:t>
            </w:r>
            <w:r w:rsidR="009024CD">
              <w:rPr>
                <w:rFonts w:eastAsia="MS Mincho"/>
              </w:rPr>
              <w:t>kap i OUS</w:t>
            </w:r>
            <w:r w:rsidR="00A22BDD">
              <w:rPr>
                <w:rFonts w:eastAsia="MS Mincho"/>
              </w:rPr>
              <w:t>.</w:t>
            </w:r>
            <w:r w:rsidR="0015687E">
              <w:rPr>
                <w:rFonts w:eastAsia="MS Mincho"/>
              </w:rPr>
              <w:t xml:space="preserve"> 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1F9A">
              <w:t>Se punkt 9.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FE0512" w:rsidRDefault="00C05AB7" w:rsidP="00561F9A">
            <w:pPr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1F9A">
              <w:t>Ja, pasientens perspektiv, rettigheter  og interesser er vektlagt.</w:t>
            </w:r>
            <w:r>
              <w:rPr>
                <w:rFonts w:ascii="MS Mincho" w:eastAsia="MS Mincho" w:hAnsi="MS Mincho" w:cs="MS Mincho" w:hint="eastAsia"/>
              </w:rPr>
              <w:t> </w:t>
            </w:r>
          </w:p>
          <w:p w:rsidR="009C5AB9" w:rsidRDefault="00FE0512" w:rsidP="00FE0512">
            <w:pPr>
              <w:ind w:left="108"/>
            </w:pPr>
            <w:r>
              <w:rPr>
                <w:rFonts w:eastAsia="MS Mincho"/>
              </w:rPr>
              <w:t>Helsegevinsten til pasienten ligger i vårt "sørge- for- ansvar" og i Forsvarlighetskravet. Grunnlaget for oppfølging gjøres i medisinskfaglige  vurderinger for tid for kontakt.</w:t>
            </w:r>
            <w:r w:rsidR="00C05AB7">
              <w:rPr>
                <w:rFonts w:ascii="MS Mincho" w:eastAsia="MS Mincho" w:hAnsi="MS Mincho" w:cs="MS Mincho" w:hint="eastAsia"/>
              </w:rPr>
              <w:t>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9C5AB9" w:rsidRDefault="00C05AB7" w:rsidP="00214B26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14B26">
              <w:t>Se punkt 8.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</w:t>
            </w:r>
            <w:r w:rsidR="00502835">
              <w:rPr>
                <w:rFonts w:eastAsia="MS Mincho"/>
              </w:rPr>
              <w:t>Nei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proofErr w:type="gramStart"/>
            <w:r>
              <w:fldChar w:fldCharType="end"/>
            </w:r>
            <w:r>
              <w:t xml:space="preserve">  Nei</w:t>
            </w:r>
            <w:proofErr w:type="gramEnd"/>
            <w:r>
              <w:t>, det var ingen tilbakemeldinger.</w:t>
            </w:r>
            <w:r>
              <w:tab/>
            </w:r>
          </w:p>
          <w:p w:rsidR="00502835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502835" w:rsidRDefault="00502835" w:rsidP="00C05AB7">
            <w:pPr>
              <w:spacing w:before="40"/>
              <w:ind w:left="108"/>
            </w:pPr>
          </w:p>
          <w:p w:rsidR="002229D3" w:rsidRDefault="00502835" w:rsidP="00502835">
            <w:pPr>
              <w:spacing w:before="40"/>
              <w:ind w:left="108"/>
            </w:pPr>
            <w:r>
              <w:t>Dokumentet ble vedtatt i ledermøtet i 2017, og var dengang på høring i Styringsgruppen, Ledermøtet og i Dialogmøtet.</w:t>
            </w:r>
            <w:r w:rsidR="002229D3"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eastAsia="MS Mincho"/>
              </w:rPr>
              <w:t>Se punkt 5.</w:t>
            </w:r>
            <w:r w:rsidR="002229D3">
              <w:rPr>
                <w:rFonts w:ascii="MS Mincho" w:eastAsia="MS Mincho" w:hAnsi="MS Mincho" w:cs="MS Mincho" w:hint="eastAsia"/>
              </w:rPr>
              <w:t>    </w:t>
            </w:r>
            <w:r w:rsidR="002229D3"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1 </w:t>
            </w:r>
            <w:proofErr w:type="gramStart"/>
            <w:r>
              <w:t>år     Annen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proofErr w:type="gramStart"/>
            <w:r>
              <w:fldChar w:fldCharType="end"/>
            </w:r>
            <w:r>
              <w:t xml:space="preserve">  Nei</w:t>
            </w:r>
            <w:proofErr w:type="gramEnd"/>
            <w:r>
              <w:t xml:space="preserve">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E25ACB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 w:rsidR="00E25ACB">
              <w:rPr>
                <w:rFonts w:eastAsia="MS Mincho"/>
              </w:rPr>
              <w:t>Ja</w:t>
            </w: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665E9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E93">
              <w:t>D</w:t>
            </w:r>
            <w:r w:rsidR="00665E93">
              <w:rPr>
                <w:rFonts w:eastAsia="MS Mincho"/>
              </w:rPr>
              <w:t>e er beskrevet i muligheten til å gi avslag på henvisning eller at det i faglige retningslinjer bør ligge føringer for hvor lenge OUS skal beholde behandlingsansvaret.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 w:rsidR="00746668">
              <w:rPr>
                <w:rFonts w:eastAsia="MS Mincho"/>
              </w:rPr>
              <w:t>Ja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9C5AB9" w:rsidRDefault="00C05AB7" w:rsidP="006B55D9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6668">
              <w:rPr>
                <w:rFonts w:eastAsia="MS Mincho"/>
              </w:rPr>
              <w:t>Se  plan for implementering</w:t>
            </w:r>
            <w:r w:rsidR="006B55D9">
              <w:rPr>
                <w:rFonts w:eastAsia="MS Mincho"/>
              </w:rPr>
              <w:t>.</w:t>
            </w:r>
            <w:r>
              <w:fldChar w:fldCharType="end"/>
            </w:r>
          </w:p>
        </w:tc>
      </w:tr>
      <w:tr w:rsidR="009C5AB9" w:rsidRPr="006B55D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6B55D9" w:rsidRDefault="00C05AB7" w:rsidP="006B55D9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B55D9">
              <w:instrText xml:space="preserve"> FORMTEXT </w:instrText>
            </w:r>
            <w:r>
              <w:fldChar w:fldCharType="separate"/>
            </w:r>
            <w:r w:rsidR="006B55D9">
              <w:t>V</w:t>
            </w:r>
            <w:r w:rsidR="006B55D9" w:rsidRPr="006B55D9">
              <w:t xml:space="preserve">erktøy: LIS, DIPS, NIMES, GAT, LEAN, </w:t>
            </w:r>
            <w:r w:rsidR="006B55D9">
              <w:t>tavlemøter/Grønne korset, Achilles.</w:t>
            </w:r>
          </w:p>
          <w:p w:rsidR="009C5AB9" w:rsidRPr="006B55D9" w:rsidRDefault="006B55D9" w:rsidP="006B55D9">
            <w:pPr>
              <w:ind w:left="108"/>
            </w:pPr>
            <w:r>
              <w:t>Råd: De referanser, vedlegg og eHåndboksdokumenter som er lenket til dokumentet.</w:t>
            </w:r>
            <w:r w:rsidR="00C05AB7" w:rsidRPr="006B55D9">
              <w:rPr>
                <w:rFonts w:ascii="MS Mincho" w:eastAsia="MS Mincho" w:hAnsi="MS Mincho" w:cs="MS Mincho" w:hint="eastAsia"/>
              </w:rPr>
              <w:t>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2C6773" w:rsidRDefault="00C05AB7" w:rsidP="00205B4C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5B4C">
              <w:t>Ja, i kapittel 1 om hensikt og omfang og i kapittel 5 om avvik eller dessens</w:t>
            </w:r>
            <w:r w:rsidR="002C6773">
              <w:t>.</w:t>
            </w:r>
          </w:p>
          <w:p w:rsidR="009C5AB9" w:rsidRDefault="0097561E" w:rsidP="002C6773">
            <w:pPr>
              <w:spacing w:before="40"/>
              <w:ind w:left="108"/>
            </w:pPr>
            <w:r>
              <w:rPr>
                <w:rFonts w:eastAsia="MS Mincho"/>
              </w:rPr>
              <w:t>R</w:t>
            </w:r>
            <w:r w:rsidR="002C6773">
              <w:rPr>
                <w:rFonts w:eastAsia="MS Mincho"/>
              </w:rPr>
              <w:t>esultater fra poliklinisk drift måles i fastsatte indikatorer og disse evalueres og rapporteres månedlig internt og eksternt.</w:t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 w:rsidR="00A61C28">
              <w:t xml:space="preserve">  Stor </w:t>
            </w:r>
            <w:proofErr w:type="gramStart"/>
            <w:r w:rsidR="00A61C28">
              <w:t xml:space="preserve">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717D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E33604" w:rsidRDefault="009C5AB9" w:rsidP="004C1531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</w:p>
          <w:p w:rsidR="00E33604" w:rsidRDefault="00E33604" w:rsidP="004C1531">
            <w:pPr>
              <w:spacing w:before="40"/>
              <w:ind w:left="108"/>
            </w:pPr>
            <w:r>
              <w:t>Innkomne innspill i forbindel</w:t>
            </w:r>
            <w:r w:rsidR="00657ABB">
              <w:t>s</w:t>
            </w:r>
            <w:bookmarkStart w:id="0" w:name="_GoBack"/>
            <w:bookmarkEnd w:id="0"/>
            <w:r>
              <w:t>e med høring:</w:t>
            </w:r>
          </w:p>
          <w:p w:rsidR="00E33604" w:rsidRDefault="00E33604" w:rsidP="00E33604">
            <w:pPr>
              <w:spacing w:before="40"/>
              <w:ind w:left="108"/>
              <w:rPr>
                <w:rFonts w:eastAsia="MS Mincho"/>
              </w:rPr>
            </w:pPr>
            <w:r>
              <w:t>PHA har sitt høringssvar gitt tilbakemelding på at klinikken ikke har noen kommentarer til oppdateringen av dokumentet.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</w:p>
          <w:p w:rsidR="009C5AB9" w:rsidRDefault="00E33604" w:rsidP="00E33604">
            <w:pPr>
              <w:spacing w:before="40"/>
              <w:ind w:left="108"/>
            </w:pPr>
            <w:r>
              <w:rPr>
                <w:rFonts w:eastAsia="MS Mincho"/>
              </w:rPr>
              <w:t>Det kom inn en tilbakemelding fra BAR på beskrivelse av en definisjon, som er hensyntatt.</w:t>
            </w:r>
            <w:r w:rsidR="00C05AB7">
              <w:rPr>
                <w:rFonts w:ascii="MS Mincho" w:eastAsia="MS Mincho" w:hAnsi="MS Mincho" w:cs="MS Mincho" w:hint="eastAsia"/>
              </w:rPr>
              <w:t>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746668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" w:name="Tekst15"/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 w:rsidR="00746668">
              <w:t>Helén Blegen Ween</w:t>
            </w:r>
            <w:r>
              <w:t>   </w:t>
            </w:r>
            <w:r>
              <w:fldChar w:fldCharType="end"/>
            </w:r>
            <w:bookmarkEnd w:id="1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" w:name="Teks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 w:rsidR="00746668">
              <w:t>48241383</w:t>
            </w:r>
            <w:r>
              <w:t>    </w:t>
            </w:r>
            <w:r>
              <w:fldChar w:fldCharType="end"/>
            </w:r>
            <w:bookmarkEnd w:id="2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E33604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instrText xml:space="preserve"> FORMTEXT </w:instrText>
            </w:r>
            <w:r>
              <w:fldChar w:fldCharType="separate"/>
            </w:r>
            <w:r w:rsidR="00E33604">
              <w:t>mai</w:t>
            </w:r>
            <w:r w:rsidR="00746668">
              <w:t xml:space="preserve"> 2020</w:t>
            </w:r>
            <w:r>
              <w:fldChar w:fldCharType="end"/>
            </w:r>
            <w:bookmarkEnd w:id="3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5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80" w:rsidRDefault="00E32780" w:rsidP="007F7B64">
      <w:r>
        <w:separator/>
      </w:r>
    </w:p>
  </w:endnote>
  <w:endnote w:type="continuationSeparator" w:id="0">
    <w:p w:rsidR="00E32780" w:rsidRDefault="00E32780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7F7B64" w:rsidTr="00844F4C">
      <w:tc>
        <w:tcPr>
          <w:tcW w:w="2270" w:type="pct"/>
          <w:gridSpan w:val="2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1D5444">
            <w:rPr>
              <w:rFonts w:ascii="Arial Narrow" w:hAnsi="Arial Narrow" w:cs="Times-Roman"/>
              <w:b/>
              <w:noProof/>
              <w:sz w:val="14"/>
              <w:szCs w:val="24"/>
            </w:rPr>
            <w:t>AGREE metoderapport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0E2422">
            <w:rPr>
              <w:rFonts w:ascii="Arial Narrow" w:hAnsi="Arial Narrow" w:cs="Times-Roman"/>
              <w:sz w:val="14"/>
              <w:szCs w:val="24"/>
            </w:rPr>
            <w:t>8</w:t>
          </w:r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E33604">
            <w:rPr>
              <w:rFonts w:ascii="Arial Narrow" w:hAnsi="Arial Narrow" w:cs="Times-Roman"/>
              <w:noProof/>
              <w:sz w:val="14"/>
              <w:szCs w:val="24"/>
            </w:rPr>
            <w:t>05.05.20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657AB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657AB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80" w:rsidRDefault="00E32780" w:rsidP="007F7B64">
      <w:r>
        <w:separator/>
      </w:r>
    </w:p>
  </w:footnote>
  <w:footnote w:type="continuationSeparator" w:id="0">
    <w:p w:rsidR="00E32780" w:rsidRDefault="00E32780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0"/>
    <w:rsid w:val="00015BC7"/>
    <w:rsid w:val="00023661"/>
    <w:rsid w:val="000447D9"/>
    <w:rsid w:val="00071644"/>
    <w:rsid w:val="000E2422"/>
    <w:rsid w:val="001552BA"/>
    <w:rsid w:val="0015687E"/>
    <w:rsid w:val="001629F5"/>
    <w:rsid w:val="00165B91"/>
    <w:rsid w:val="001D5444"/>
    <w:rsid w:val="00205B4C"/>
    <w:rsid w:val="00214B26"/>
    <w:rsid w:val="002229D3"/>
    <w:rsid w:val="002C6773"/>
    <w:rsid w:val="002D32C9"/>
    <w:rsid w:val="002E2B52"/>
    <w:rsid w:val="002F6710"/>
    <w:rsid w:val="00321CA8"/>
    <w:rsid w:val="00357CE8"/>
    <w:rsid w:val="00382662"/>
    <w:rsid w:val="003831E6"/>
    <w:rsid w:val="00394B82"/>
    <w:rsid w:val="003C26FA"/>
    <w:rsid w:val="00405786"/>
    <w:rsid w:val="00412517"/>
    <w:rsid w:val="00434722"/>
    <w:rsid w:val="00454337"/>
    <w:rsid w:val="004930DD"/>
    <w:rsid w:val="004A7614"/>
    <w:rsid w:val="004C1531"/>
    <w:rsid w:val="00502835"/>
    <w:rsid w:val="00561F9A"/>
    <w:rsid w:val="00562479"/>
    <w:rsid w:val="005743BF"/>
    <w:rsid w:val="00590501"/>
    <w:rsid w:val="005C38A5"/>
    <w:rsid w:val="005E3C81"/>
    <w:rsid w:val="00602339"/>
    <w:rsid w:val="00620CB0"/>
    <w:rsid w:val="00643704"/>
    <w:rsid w:val="00657ABB"/>
    <w:rsid w:val="00661E36"/>
    <w:rsid w:val="0066264D"/>
    <w:rsid w:val="00665E93"/>
    <w:rsid w:val="006B55D9"/>
    <w:rsid w:val="006C4267"/>
    <w:rsid w:val="007245D6"/>
    <w:rsid w:val="00746668"/>
    <w:rsid w:val="007476C6"/>
    <w:rsid w:val="00772F4A"/>
    <w:rsid w:val="007F6915"/>
    <w:rsid w:val="007F7B64"/>
    <w:rsid w:val="008269D4"/>
    <w:rsid w:val="00837B56"/>
    <w:rsid w:val="00844F4C"/>
    <w:rsid w:val="00894754"/>
    <w:rsid w:val="008D5C7E"/>
    <w:rsid w:val="008D6093"/>
    <w:rsid w:val="009024CD"/>
    <w:rsid w:val="00941CF7"/>
    <w:rsid w:val="0097561E"/>
    <w:rsid w:val="009A0F5F"/>
    <w:rsid w:val="009C5AB9"/>
    <w:rsid w:val="009F0B34"/>
    <w:rsid w:val="00A061B6"/>
    <w:rsid w:val="00A22BDD"/>
    <w:rsid w:val="00A275FC"/>
    <w:rsid w:val="00A47B0E"/>
    <w:rsid w:val="00A61C28"/>
    <w:rsid w:val="00A6487F"/>
    <w:rsid w:val="00A663E1"/>
    <w:rsid w:val="00A9196B"/>
    <w:rsid w:val="00A958A7"/>
    <w:rsid w:val="00AA6E75"/>
    <w:rsid w:val="00BE1B39"/>
    <w:rsid w:val="00BE7037"/>
    <w:rsid w:val="00C05AB7"/>
    <w:rsid w:val="00C3480F"/>
    <w:rsid w:val="00C74BB8"/>
    <w:rsid w:val="00CC3A40"/>
    <w:rsid w:val="00CC4EBE"/>
    <w:rsid w:val="00D842AF"/>
    <w:rsid w:val="00D919B2"/>
    <w:rsid w:val="00DA673C"/>
    <w:rsid w:val="00E25ACB"/>
    <w:rsid w:val="00E32780"/>
    <w:rsid w:val="00E33604"/>
    <w:rsid w:val="00E72105"/>
    <w:rsid w:val="00F338D3"/>
    <w:rsid w:val="00F4464F"/>
    <w:rsid w:val="00FC0CCE"/>
    <w:rsid w:val="00FE0512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handbok.ous-hf.no/document/592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Felles\DST\Delte\FPS\MHU_Ressurssiden%20KDS\1_Adm_Ressurside_KDS\Vedlegg_prosedyre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handbok.ous-hf.no/Modules/Module_136/handbook_view.aspx?documentId=38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handbok.ous-hf.no/document/592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AD7C-4C12-4C6D-8519-AAA6EDDD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227</TotalTime>
  <Pages>4</Pages>
  <Words>1760</Words>
  <Characters>9328</Characters>
  <Application>Microsoft Office Word</Application>
  <DocSecurity>0</DocSecurity>
  <PresentationFormat/>
  <Lines>77</Lines>
  <Paragraphs>22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11066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Helen Blegen Ween</cp:lastModifiedBy>
  <cp:revision>55</cp:revision>
  <cp:lastPrinted>2020-04-16T07:41:00Z</cp:lastPrinted>
  <dcterms:created xsi:type="dcterms:W3CDTF">2019-12-04T09:21:00Z</dcterms:created>
  <dcterms:modified xsi:type="dcterms:W3CDTF">2020-05-20T11:15:00Z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